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897" w:rsidRDefault="00E12B17">
      <w:pPr>
        <w:pStyle w:val="Heading1"/>
        <w:spacing w:before="0" w:line="240" w:lineRule="auto"/>
      </w:pPr>
      <w:r>
        <w:rPr>
          <w:color w:val="0000FF"/>
          <w:sz w:val="28"/>
        </w:rPr>
        <w:t>Overview</w:t>
      </w:r>
    </w:p>
    <w:p w:rsidR="00E12B17" w:rsidRDefault="00E12B17">
      <w:pPr>
        <w:pStyle w:val="normal0"/>
        <w:spacing w:after="0" w:line="240" w:lineRule="auto"/>
        <w:jc w:val="both"/>
        <w:rPr>
          <w:rFonts w:ascii="Cambria" w:eastAsia="Cambria" w:hAnsi="Cambria" w:cs="Cambria"/>
          <w:sz w:val="20"/>
        </w:rPr>
      </w:pPr>
    </w:p>
    <w:p w:rsidR="00AB4D14" w:rsidRPr="00AB4D14" w:rsidRDefault="009D41EC" w:rsidP="00AB4D14">
      <w:pPr>
        <w:pStyle w:val="normal0"/>
        <w:numPr>
          <w:ilvl w:val="0"/>
          <w:numId w:val="5"/>
        </w:numPr>
        <w:spacing w:after="0" w:line="240" w:lineRule="auto"/>
        <w:rPr>
          <w:rFonts w:asciiTheme="minorHAnsi" w:hAnsiTheme="minorHAnsi"/>
          <w:sz w:val="20"/>
        </w:rPr>
      </w:pPr>
      <w:r w:rsidRPr="00AB4D14">
        <w:rPr>
          <w:rFonts w:asciiTheme="minorHAnsi" w:eastAsia="Cambria" w:hAnsiTheme="minorHAnsi" w:cs="Cambria"/>
          <w:sz w:val="20"/>
        </w:rPr>
        <w:t xml:space="preserve">Nation’s largest </w:t>
      </w:r>
      <w:r w:rsidR="0019093B">
        <w:rPr>
          <w:rFonts w:asciiTheme="minorHAnsi" w:eastAsia="Cambria" w:hAnsiTheme="minorHAnsi" w:cs="Cambria"/>
          <w:sz w:val="20"/>
        </w:rPr>
        <w:t xml:space="preserve">publicly-traded, </w:t>
      </w:r>
      <w:r w:rsidRPr="00AB4D14">
        <w:rPr>
          <w:rFonts w:asciiTheme="minorHAnsi" w:eastAsia="Cambria" w:hAnsiTheme="minorHAnsi" w:cs="Cambria"/>
          <w:sz w:val="20"/>
        </w:rPr>
        <w:t xml:space="preserve">for-profit education company, </w:t>
      </w:r>
      <w:r w:rsidR="00AB4D14">
        <w:rPr>
          <w:rFonts w:asciiTheme="minorHAnsi" w:eastAsia="Cambria" w:hAnsiTheme="minorHAnsi" w:cs="Cambria"/>
          <w:sz w:val="20"/>
        </w:rPr>
        <w:t>o</w:t>
      </w:r>
      <w:r w:rsidR="00AB4D14" w:rsidRPr="00AB4D14">
        <w:rPr>
          <w:rFonts w:asciiTheme="minorHAnsi" w:hAnsiTheme="minorHAnsi"/>
          <w:sz w:val="20"/>
        </w:rPr>
        <w:t>perat</w:t>
      </w:r>
      <w:r w:rsidR="00AB4D14">
        <w:rPr>
          <w:rFonts w:asciiTheme="minorHAnsi" w:hAnsiTheme="minorHAnsi"/>
          <w:sz w:val="20"/>
        </w:rPr>
        <w:t>ing</w:t>
      </w:r>
      <w:r w:rsidR="00AB4D14" w:rsidRPr="00AB4D14">
        <w:rPr>
          <w:rFonts w:asciiTheme="minorHAnsi" w:hAnsiTheme="minorHAnsi"/>
          <w:sz w:val="20"/>
        </w:rPr>
        <w:t xml:space="preserve"> under the University of Phoenix and Western International University brands at over 200 “learning centers” for online students</w:t>
      </w:r>
      <w:r w:rsidR="00F143B9">
        <w:rPr>
          <w:rFonts w:asciiTheme="minorHAnsi" w:hAnsiTheme="minorHAnsi"/>
          <w:sz w:val="20"/>
        </w:rPr>
        <w:t xml:space="preserve"> and 76 campuses</w:t>
      </w:r>
    </w:p>
    <w:p w:rsidR="00AB4D14" w:rsidRPr="00AB4D14" w:rsidRDefault="00AB4D14" w:rsidP="00AB4D14">
      <w:pPr>
        <w:pStyle w:val="normal0"/>
        <w:numPr>
          <w:ilvl w:val="0"/>
          <w:numId w:val="5"/>
        </w:numPr>
        <w:spacing w:after="0" w:line="240" w:lineRule="auto"/>
        <w:rPr>
          <w:rFonts w:asciiTheme="minorHAnsi" w:hAnsiTheme="minorHAnsi"/>
          <w:sz w:val="20"/>
        </w:rPr>
      </w:pPr>
      <w:r>
        <w:rPr>
          <w:rFonts w:asciiTheme="minorHAnsi" w:eastAsia="Cambria" w:hAnsiTheme="minorHAnsi" w:cs="Cambria"/>
          <w:sz w:val="20"/>
        </w:rPr>
        <w:t>Pi</w:t>
      </w:r>
      <w:r w:rsidR="009D41EC" w:rsidRPr="00AB4D14">
        <w:rPr>
          <w:rFonts w:asciiTheme="minorHAnsi" w:eastAsia="Cambria" w:hAnsiTheme="minorHAnsi" w:cs="Cambria"/>
          <w:sz w:val="20"/>
        </w:rPr>
        <w:t>oneer</w:t>
      </w:r>
      <w:r w:rsidR="00AB02B1" w:rsidRPr="00AB4D14">
        <w:rPr>
          <w:rFonts w:asciiTheme="minorHAnsi" w:eastAsia="Cambria" w:hAnsiTheme="minorHAnsi" w:cs="Cambria"/>
          <w:sz w:val="20"/>
        </w:rPr>
        <w:t>ed</w:t>
      </w:r>
      <w:r w:rsidR="009D41EC" w:rsidRPr="00AB4D14">
        <w:rPr>
          <w:rFonts w:asciiTheme="minorHAnsi" w:eastAsia="Cambria" w:hAnsiTheme="minorHAnsi" w:cs="Cambria"/>
          <w:sz w:val="20"/>
        </w:rPr>
        <w:t xml:space="preserve"> the modern version of th</w:t>
      </w:r>
      <w:r w:rsidR="00AB02B1" w:rsidRPr="00AB4D14">
        <w:rPr>
          <w:rFonts w:asciiTheme="minorHAnsi" w:eastAsia="Cambria" w:hAnsiTheme="minorHAnsi" w:cs="Cambria"/>
          <w:sz w:val="20"/>
        </w:rPr>
        <w:t xml:space="preserve">e proprietary </w:t>
      </w:r>
      <w:r w:rsidR="009D41EC" w:rsidRPr="00AB4D14">
        <w:rPr>
          <w:rFonts w:asciiTheme="minorHAnsi" w:eastAsia="Cambria" w:hAnsiTheme="minorHAnsi" w:cs="Cambria"/>
          <w:sz w:val="20"/>
        </w:rPr>
        <w:t>model</w:t>
      </w:r>
      <w:r w:rsidR="00E376AC" w:rsidRPr="00AB4D14">
        <w:rPr>
          <w:rFonts w:asciiTheme="minorHAnsi" w:eastAsia="Cambria" w:hAnsiTheme="minorHAnsi" w:cs="Cambria"/>
          <w:sz w:val="20"/>
        </w:rPr>
        <w:t xml:space="preserve">, </w:t>
      </w:r>
      <w:r w:rsidR="00F97A9E">
        <w:rPr>
          <w:rFonts w:asciiTheme="minorHAnsi" w:eastAsia="Cambria" w:hAnsiTheme="minorHAnsi" w:cs="Cambria"/>
          <w:sz w:val="20"/>
        </w:rPr>
        <w:t xml:space="preserve">originally </w:t>
      </w:r>
      <w:r w:rsidR="00E376AC" w:rsidRPr="00AB4D14">
        <w:rPr>
          <w:rFonts w:asciiTheme="minorHAnsi" w:eastAsia="Cambria" w:hAnsiTheme="minorHAnsi" w:cs="Cambria"/>
          <w:sz w:val="20"/>
        </w:rPr>
        <w:t>focus</w:t>
      </w:r>
      <w:r w:rsidR="00F97A9E">
        <w:rPr>
          <w:rFonts w:asciiTheme="minorHAnsi" w:eastAsia="Cambria" w:hAnsiTheme="minorHAnsi" w:cs="Cambria"/>
          <w:sz w:val="20"/>
        </w:rPr>
        <w:t>ing</w:t>
      </w:r>
      <w:r w:rsidR="00E376AC" w:rsidRPr="00AB4D14">
        <w:rPr>
          <w:rFonts w:asciiTheme="minorHAnsi" w:eastAsia="Cambria" w:hAnsiTheme="minorHAnsi" w:cs="Cambria"/>
          <w:sz w:val="20"/>
        </w:rPr>
        <w:t xml:space="preserve"> on </w:t>
      </w:r>
      <w:r w:rsidRPr="00AB4D14">
        <w:rPr>
          <w:rFonts w:asciiTheme="minorHAnsi" w:eastAsia="Cambria" w:hAnsiTheme="minorHAnsi" w:cs="Cambria"/>
          <w:sz w:val="20"/>
        </w:rPr>
        <w:t xml:space="preserve">working </w:t>
      </w:r>
      <w:r w:rsidR="00E376AC" w:rsidRPr="00AB4D14">
        <w:rPr>
          <w:rFonts w:asciiTheme="minorHAnsi" w:eastAsia="Cambria" w:hAnsiTheme="minorHAnsi" w:cs="Cambria"/>
          <w:sz w:val="20"/>
        </w:rPr>
        <w:t xml:space="preserve">adults </w:t>
      </w:r>
      <w:r w:rsidR="00F97A9E">
        <w:rPr>
          <w:rFonts w:asciiTheme="minorHAnsi" w:eastAsia="Cambria" w:hAnsiTheme="minorHAnsi" w:cs="Cambria"/>
          <w:sz w:val="20"/>
        </w:rPr>
        <w:t>with some</w:t>
      </w:r>
      <w:r w:rsidR="00C9616D">
        <w:rPr>
          <w:rFonts w:asciiTheme="minorHAnsi" w:eastAsia="Cambria" w:hAnsiTheme="minorHAnsi" w:cs="Cambria"/>
          <w:sz w:val="20"/>
        </w:rPr>
        <w:t xml:space="preserve"> </w:t>
      </w:r>
      <w:r w:rsidRPr="00AB4D14">
        <w:rPr>
          <w:rFonts w:asciiTheme="minorHAnsi" w:eastAsia="Cambria" w:hAnsiTheme="minorHAnsi" w:cs="Cambria"/>
          <w:sz w:val="20"/>
        </w:rPr>
        <w:t>college credits</w:t>
      </w:r>
    </w:p>
    <w:p w:rsidR="0054100D" w:rsidRPr="0054100D" w:rsidRDefault="00F143B9" w:rsidP="003A53C1">
      <w:pPr>
        <w:pStyle w:val="normal0"/>
        <w:numPr>
          <w:ilvl w:val="0"/>
          <w:numId w:val="5"/>
        </w:numPr>
        <w:spacing w:after="0" w:line="240" w:lineRule="auto"/>
      </w:pPr>
      <w:r>
        <w:rPr>
          <w:rFonts w:asciiTheme="minorHAnsi" w:eastAsia="Cambria" w:hAnsiTheme="minorHAnsi" w:cs="Cambria"/>
          <w:sz w:val="20"/>
        </w:rPr>
        <w:t>Abandoned this model a</w:t>
      </w:r>
      <w:r w:rsidR="00840656">
        <w:rPr>
          <w:rFonts w:asciiTheme="minorHAnsi" w:eastAsia="Cambria" w:hAnsiTheme="minorHAnsi" w:cs="Cambria"/>
          <w:sz w:val="20"/>
        </w:rPr>
        <w:t>fter</w:t>
      </w:r>
      <w:r w:rsidR="00CB6B26">
        <w:rPr>
          <w:rFonts w:asciiTheme="minorHAnsi" w:eastAsia="Cambria" w:hAnsiTheme="minorHAnsi" w:cs="Cambria"/>
          <w:sz w:val="20"/>
        </w:rPr>
        <w:t xml:space="preserve"> </w:t>
      </w:r>
      <w:r w:rsidR="00F97A9E">
        <w:rPr>
          <w:rFonts w:asciiTheme="minorHAnsi" w:eastAsia="Cambria" w:hAnsiTheme="minorHAnsi" w:cs="Cambria"/>
          <w:sz w:val="20"/>
        </w:rPr>
        <w:t>2001</w:t>
      </w:r>
      <w:r>
        <w:rPr>
          <w:rFonts w:asciiTheme="minorHAnsi" w:eastAsia="Cambria" w:hAnsiTheme="minorHAnsi" w:cs="Cambria"/>
          <w:sz w:val="20"/>
        </w:rPr>
        <w:t xml:space="preserve"> to focus more </w:t>
      </w:r>
      <w:r w:rsidR="00F97A9E">
        <w:rPr>
          <w:rFonts w:asciiTheme="minorHAnsi" w:eastAsia="Cambria" w:hAnsiTheme="minorHAnsi" w:cs="Cambria"/>
          <w:sz w:val="20"/>
        </w:rPr>
        <w:t>on growth and earnings</w:t>
      </w:r>
      <w:r w:rsidR="005C45F3">
        <w:rPr>
          <w:rFonts w:asciiTheme="minorHAnsi" w:eastAsia="Cambria" w:hAnsiTheme="minorHAnsi" w:cs="Cambria"/>
          <w:sz w:val="20"/>
        </w:rPr>
        <w:t xml:space="preserve"> </w:t>
      </w:r>
      <w:r w:rsidR="00E431FD">
        <w:rPr>
          <w:rFonts w:asciiTheme="minorHAnsi" w:eastAsia="Cambria" w:hAnsiTheme="minorHAnsi" w:cs="Cambria"/>
          <w:sz w:val="20"/>
        </w:rPr>
        <w:t>than on</w:t>
      </w:r>
      <w:r w:rsidR="005C45F3">
        <w:rPr>
          <w:rFonts w:asciiTheme="minorHAnsi" w:eastAsia="Cambria" w:hAnsiTheme="minorHAnsi" w:cs="Cambria"/>
          <w:sz w:val="20"/>
        </w:rPr>
        <w:t xml:space="preserve"> academic integrity</w:t>
      </w:r>
    </w:p>
    <w:p w:rsidR="00305264" w:rsidRPr="00305264" w:rsidRDefault="0054100D" w:rsidP="000C65EA">
      <w:pPr>
        <w:pStyle w:val="normal0"/>
        <w:numPr>
          <w:ilvl w:val="0"/>
          <w:numId w:val="5"/>
        </w:numPr>
        <w:spacing w:after="0" w:line="240" w:lineRule="auto"/>
      </w:pPr>
      <w:r>
        <w:rPr>
          <w:rFonts w:asciiTheme="minorHAnsi" w:eastAsia="Cambria" w:hAnsiTheme="minorHAnsi" w:cs="Cambria"/>
          <w:sz w:val="20"/>
        </w:rPr>
        <w:t>The company is under investigation by 3 state Attorneys General and the Department of Education Inspector General</w:t>
      </w:r>
    </w:p>
    <w:p w:rsidR="003A53C1" w:rsidRPr="003A53C1" w:rsidRDefault="00305264" w:rsidP="000C65EA">
      <w:pPr>
        <w:pStyle w:val="normal0"/>
        <w:numPr>
          <w:ilvl w:val="0"/>
          <w:numId w:val="5"/>
        </w:numPr>
        <w:spacing w:after="0" w:line="240" w:lineRule="auto"/>
      </w:pPr>
      <w:r>
        <w:rPr>
          <w:rFonts w:asciiTheme="minorHAnsi" w:eastAsia="Cambria" w:hAnsiTheme="minorHAnsi" w:cs="Cambria"/>
          <w:sz w:val="20"/>
        </w:rPr>
        <w:t xml:space="preserve">In October 2015, the Department of Defense suspended Phoenix’s enrollment of </w:t>
      </w:r>
      <w:proofErr w:type="spellStart"/>
      <w:r>
        <w:rPr>
          <w:rFonts w:asciiTheme="minorHAnsi" w:eastAsia="Cambria" w:hAnsiTheme="minorHAnsi" w:cs="Cambria"/>
          <w:sz w:val="20"/>
        </w:rPr>
        <w:t>servicemembers</w:t>
      </w:r>
      <w:proofErr w:type="spellEnd"/>
      <w:r>
        <w:rPr>
          <w:rFonts w:asciiTheme="minorHAnsi" w:eastAsia="Cambria" w:hAnsiTheme="minorHAnsi" w:cs="Cambria"/>
          <w:sz w:val="20"/>
        </w:rPr>
        <w:t xml:space="preserve"> in the Tuition Assistance Program over violations of its MOU with the Department.</w:t>
      </w:r>
    </w:p>
    <w:p w:rsidR="00A81897" w:rsidRDefault="00A81897" w:rsidP="003A53C1">
      <w:pPr>
        <w:pStyle w:val="normal0"/>
        <w:spacing w:after="0" w:line="240" w:lineRule="auto"/>
        <w:ind w:left="360"/>
      </w:pPr>
    </w:p>
    <w:p w:rsidR="00A81897" w:rsidRDefault="00213222">
      <w:pPr>
        <w:pStyle w:val="Heading1"/>
        <w:spacing w:before="0" w:line="240" w:lineRule="auto"/>
      </w:pPr>
      <w:r>
        <w:rPr>
          <w:color w:val="0000FF"/>
          <w:sz w:val="28"/>
        </w:rPr>
        <w:t xml:space="preserve">Tuition </w:t>
      </w:r>
    </w:p>
    <w:p w:rsidR="00A81897" w:rsidRDefault="009D5D57">
      <w:pPr>
        <w:pStyle w:val="normal0"/>
        <w:numPr>
          <w:ilvl w:val="0"/>
          <w:numId w:val="1"/>
        </w:numPr>
        <w:spacing w:after="0" w:line="240" w:lineRule="auto"/>
        <w:ind w:hanging="359"/>
        <w:contextualSpacing/>
      </w:pPr>
      <w:r>
        <w:rPr>
          <w:rFonts w:ascii="Cambria" w:eastAsia="Cambria" w:hAnsi="Cambria" w:cs="Cambria"/>
          <w:sz w:val="20"/>
        </w:rPr>
        <w:t>Online a</w:t>
      </w:r>
      <w:r w:rsidR="00213222">
        <w:rPr>
          <w:rFonts w:ascii="Cambria" w:eastAsia="Cambria" w:hAnsi="Cambria" w:cs="Cambria"/>
          <w:sz w:val="20"/>
        </w:rPr>
        <w:t xml:space="preserve">ssociate degree in business </w:t>
      </w:r>
      <w:r w:rsidR="002D7E27">
        <w:rPr>
          <w:rFonts w:ascii="Cambria" w:eastAsia="Cambria" w:hAnsi="Cambria" w:cs="Cambria"/>
          <w:sz w:val="20"/>
        </w:rPr>
        <w:t xml:space="preserve">almost </w:t>
      </w:r>
      <w:r w:rsidR="00213222">
        <w:rPr>
          <w:rFonts w:ascii="Cambria" w:eastAsia="Cambria" w:hAnsi="Cambria" w:cs="Cambria"/>
          <w:sz w:val="20"/>
        </w:rPr>
        <w:t xml:space="preserve">6 times more </w:t>
      </w:r>
      <w:r w:rsidR="002D7E27">
        <w:rPr>
          <w:rFonts w:ascii="Cambria" w:eastAsia="Cambria" w:hAnsi="Cambria" w:cs="Cambria"/>
          <w:sz w:val="20"/>
        </w:rPr>
        <w:t xml:space="preserve">expensive </w:t>
      </w:r>
      <w:r w:rsidR="00213222">
        <w:rPr>
          <w:rFonts w:ascii="Cambria" w:eastAsia="Cambria" w:hAnsi="Cambria" w:cs="Cambria"/>
          <w:sz w:val="20"/>
        </w:rPr>
        <w:t xml:space="preserve">than </w:t>
      </w:r>
      <w:r w:rsidR="002D7E27">
        <w:rPr>
          <w:rFonts w:ascii="Cambria" w:eastAsia="Cambria" w:hAnsi="Cambria" w:cs="Cambria"/>
          <w:sz w:val="20"/>
        </w:rPr>
        <w:t xml:space="preserve">a </w:t>
      </w:r>
      <w:r w:rsidR="00213222">
        <w:rPr>
          <w:rFonts w:ascii="Cambria" w:eastAsia="Cambria" w:hAnsi="Cambria" w:cs="Cambria"/>
          <w:sz w:val="20"/>
        </w:rPr>
        <w:t>local community college ($24,500 vs. $4,087)</w:t>
      </w:r>
    </w:p>
    <w:p w:rsidR="00373E2F" w:rsidRPr="00373E2F" w:rsidRDefault="00213222">
      <w:pPr>
        <w:pStyle w:val="normal0"/>
        <w:numPr>
          <w:ilvl w:val="0"/>
          <w:numId w:val="1"/>
        </w:numPr>
        <w:spacing w:after="0" w:line="240" w:lineRule="auto"/>
        <w:ind w:hanging="359"/>
        <w:contextualSpacing/>
      </w:pPr>
      <w:r>
        <w:rPr>
          <w:rFonts w:ascii="Cambria" w:eastAsia="Cambria" w:hAnsi="Cambria" w:cs="Cambria"/>
          <w:sz w:val="20"/>
        </w:rPr>
        <w:t xml:space="preserve">Bachelor’s degree </w:t>
      </w:r>
      <w:r w:rsidR="00391FC3">
        <w:rPr>
          <w:rFonts w:ascii="Cambria" w:eastAsia="Cambria" w:hAnsi="Cambria" w:cs="Cambria"/>
          <w:sz w:val="20"/>
        </w:rPr>
        <w:t xml:space="preserve">in business is </w:t>
      </w:r>
      <w:r w:rsidR="0019093B">
        <w:rPr>
          <w:rFonts w:ascii="Cambria" w:eastAsia="Cambria" w:hAnsi="Cambria" w:cs="Cambria"/>
          <w:sz w:val="20"/>
        </w:rPr>
        <w:t xml:space="preserve">about </w:t>
      </w:r>
      <w:r>
        <w:rPr>
          <w:rFonts w:ascii="Cambria" w:eastAsia="Cambria" w:hAnsi="Cambria" w:cs="Cambria"/>
          <w:sz w:val="20"/>
        </w:rPr>
        <w:t>$30</w:t>
      </w:r>
      <w:r w:rsidR="00391FC3">
        <w:rPr>
          <w:rFonts w:ascii="Cambria" w:eastAsia="Cambria" w:hAnsi="Cambria" w:cs="Cambria"/>
          <w:sz w:val="20"/>
        </w:rPr>
        <w:t xml:space="preserve">,000 more expensive </w:t>
      </w:r>
      <w:r>
        <w:rPr>
          <w:rFonts w:ascii="Cambria" w:eastAsia="Cambria" w:hAnsi="Cambria" w:cs="Cambria"/>
          <w:sz w:val="20"/>
        </w:rPr>
        <w:t xml:space="preserve">at University of Phoenix than </w:t>
      </w:r>
      <w:r w:rsidR="00391FC3">
        <w:rPr>
          <w:rFonts w:ascii="Cambria" w:eastAsia="Cambria" w:hAnsi="Cambria" w:cs="Cambria"/>
          <w:sz w:val="20"/>
        </w:rPr>
        <w:t xml:space="preserve">at the </w:t>
      </w:r>
      <w:r>
        <w:rPr>
          <w:rFonts w:ascii="Cambria" w:eastAsia="Cambria" w:hAnsi="Cambria" w:cs="Cambria"/>
          <w:sz w:val="20"/>
        </w:rPr>
        <w:t>University o</w:t>
      </w:r>
      <w:r w:rsidR="00391FC3">
        <w:rPr>
          <w:rFonts w:ascii="Cambria" w:eastAsia="Cambria" w:hAnsi="Cambria" w:cs="Cambria"/>
          <w:sz w:val="20"/>
        </w:rPr>
        <w:t>f Arizona ($74,575 vs. $44,200)</w:t>
      </w:r>
    </w:p>
    <w:p w:rsidR="00373E2F" w:rsidRPr="00373E2F" w:rsidRDefault="00373E2F">
      <w:pPr>
        <w:pStyle w:val="normal0"/>
        <w:numPr>
          <w:ilvl w:val="0"/>
          <w:numId w:val="1"/>
        </w:numPr>
        <w:spacing w:after="0" w:line="240" w:lineRule="auto"/>
        <w:ind w:hanging="359"/>
        <w:contextualSpacing/>
      </w:pPr>
      <w:r>
        <w:rPr>
          <w:rFonts w:ascii="Cambria" w:eastAsia="Cambria" w:hAnsi="Cambria" w:cs="Cambria"/>
          <w:sz w:val="20"/>
        </w:rPr>
        <w:t>Has raised tuition 3-5% over past several years</w:t>
      </w:r>
    </w:p>
    <w:p w:rsidR="00A81897" w:rsidRPr="00373E2F" w:rsidRDefault="00373E2F" w:rsidP="00373E2F">
      <w:pPr>
        <w:pStyle w:val="normal0"/>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Recruiters trained to deflect questions about cost with responses such as “</w:t>
      </w:r>
      <w:r w:rsidRPr="00373E2F">
        <w:rPr>
          <w:rFonts w:ascii="Cambria" w:eastAsia="Cambria" w:hAnsi="Cambria" w:cs="Cambria"/>
          <w:sz w:val="20"/>
        </w:rPr>
        <w:t>will you</w:t>
      </w:r>
      <w:r>
        <w:rPr>
          <w:rFonts w:ascii="Cambria" w:eastAsia="Cambria" w:hAnsi="Cambria" w:cs="Cambria"/>
          <w:sz w:val="20"/>
        </w:rPr>
        <w:t xml:space="preserve"> </w:t>
      </w:r>
      <w:r w:rsidRPr="00373E2F">
        <w:rPr>
          <w:rFonts w:ascii="Cambria" w:eastAsia="Cambria" w:hAnsi="Cambria" w:cs="Cambria"/>
          <w:sz w:val="20"/>
        </w:rPr>
        <w:t>tell your friends and family you bought the cheapest degree you could find?</w:t>
      </w:r>
      <w:r>
        <w:rPr>
          <w:rFonts w:ascii="Cambria" w:eastAsia="Cambria" w:hAnsi="Cambria" w:cs="Cambria"/>
          <w:sz w:val="20"/>
        </w:rPr>
        <w:t>”</w:t>
      </w:r>
    </w:p>
    <w:p w:rsidR="00E12B17" w:rsidRDefault="00E12B17">
      <w:pPr>
        <w:pStyle w:val="Heading1"/>
        <w:spacing w:before="0" w:line="240" w:lineRule="auto"/>
      </w:pPr>
    </w:p>
    <w:p w:rsidR="00E12B17" w:rsidRDefault="00E12B17" w:rsidP="003F7B53">
      <w:pPr>
        <w:pStyle w:val="normal0"/>
        <w:spacing w:after="0" w:line="240" w:lineRule="auto"/>
      </w:pPr>
      <w:r>
        <w:rPr>
          <w:rFonts w:ascii="Cambria" w:eastAsia="Cambria" w:hAnsi="Cambria" w:cs="Cambria"/>
          <w:b/>
          <w:color w:val="0000FF"/>
          <w:sz w:val="28"/>
        </w:rPr>
        <w:t>Federal Revenue</w:t>
      </w:r>
    </w:p>
    <w:p w:rsidR="003F7B53" w:rsidRDefault="00E12B17" w:rsidP="003F7B53">
      <w:pPr>
        <w:pStyle w:val="Heading1"/>
        <w:numPr>
          <w:ilvl w:val="0"/>
          <w:numId w:val="3"/>
        </w:numPr>
        <w:spacing w:before="0" w:line="240" w:lineRule="auto"/>
        <w:ind w:hanging="359"/>
        <w:contextualSpacing/>
        <w:rPr>
          <w:b w:val="0"/>
          <w:color w:val="000000"/>
          <w:sz w:val="20"/>
        </w:rPr>
      </w:pPr>
      <w:r>
        <w:rPr>
          <w:b w:val="0"/>
          <w:color w:val="000000"/>
          <w:sz w:val="20"/>
        </w:rPr>
        <w:t xml:space="preserve">88.7% </w:t>
      </w:r>
      <w:r w:rsidR="006B280F">
        <w:rPr>
          <w:b w:val="0"/>
          <w:color w:val="000000"/>
          <w:sz w:val="20"/>
        </w:rPr>
        <w:t xml:space="preserve">($3.8 billion) </w:t>
      </w:r>
      <w:r>
        <w:rPr>
          <w:b w:val="0"/>
          <w:color w:val="000000"/>
          <w:sz w:val="20"/>
        </w:rPr>
        <w:t xml:space="preserve">of </w:t>
      </w:r>
      <w:r w:rsidR="006B280F">
        <w:rPr>
          <w:b w:val="0"/>
          <w:color w:val="000000"/>
          <w:sz w:val="20"/>
        </w:rPr>
        <w:t xml:space="preserve">its </w:t>
      </w:r>
      <w:r>
        <w:rPr>
          <w:b w:val="0"/>
          <w:color w:val="000000"/>
          <w:sz w:val="20"/>
        </w:rPr>
        <w:t xml:space="preserve">revenue </w:t>
      </w:r>
      <w:r w:rsidR="006B280F">
        <w:rPr>
          <w:b w:val="0"/>
          <w:color w:val="000000"/>
          <w:sz w:val="20"/>
        </w:rPr>
        <w:t>came from federal student aid plus military and veterans educational benefits</w:t>
      </w:r>
      <w:r w:rsidR="0019093B">
        <w:rPr>
          <w:b w:val="0"/>
          <w:color w:val="000000"/>
          <w:sz w:val="20"/>
        </w:rPr>
        <w:t xml:space="preserve"> in 2010</w:t>
      </w:r>
    </w:p>
    <w:p w:rsidR="00A81897" w:rsidRPr="003F7B53" w:rsidRDefault="00A81897" w:rsidP="003F7B53">
      <w:pPr>
        <w:pStyle w:val="normal0"/>
        <w:spacing w:after="0"/>
      </w:pPr>
    </w:p>
    <w:p w:rsidR="00A81897" w:rsidRDefault="00E12B17" w:rsidP="003F7B53">
      <w:pPr>
        <w:pStyle w:val="Heading1"/>
        <w:spacing w:before="0" w:line="240" w:lineRule="auto"/>
      </w:pPr>
      <w:r>
        <w:rPr>
          <w:color w:val="0000FF"/>
          <w:sz w:val="28"/>
        </w:rPr>
        <w:t>Expenditure Priorities</w:t>
      </w:r>
      <w:r w:rsidR="00213222">
        <w:rPr>
          <w:color w:val="0000FF"/>
          <w:sz w:val="28"/>
        </w:rPr>
        <w:t xml:space="preserve">  </w:t>
      </w:r>
    </w:p>
    <w:p w:rsidR="008F1E1D" w:rsidRDefault="008F1E1D" w:rsidP="003F7B53">
      <w:pPr>
        <w:pStyle w:val="normal0"/>
        <w:numPr>
          <w:ilvl w:val="0"/>
          <w:numId w:val="2"/>
        </w:numPr>
        <w:spacing w:after="0" w:line="240" w:lineRule="auto"/>
        <w:ind w:hanging="359"/>
        <w:contextualSpacing/>
      </w:pPr>
      <w:r>
        <w:rPr>
          <w:rFonts w:ascii="Cambria" w:eastAsia="Cambria" w:hAnsi="Cambria" w:cs="Cambria"/>
          <w:sz w:val="20"/>
        </w:rPr>
        <w:t>Allocated</w:t>
      </w:r>
      <w:r w:rsidR="006B5CE0">
        <w:rPr>
          <w:rFonts w:ascii="Cambria" w:eastAsia="Cambria" w:hAnsi="Cambria" w:cs="Cambria"/>
          <w:sz w:val="20"/>
        </w:rPr>
        <w:t xml:space="preserve"> significantly more revenue to profit (</w:t>
      </w:r>
      <w:r w:rsidR="00213222">
        <w:rPr>
          <w:rFonts w:ascii="Cambria" w:eastAsia="Cambria" w:hAnsi="Cambria" w:cs="Cambria"/>
          <w:sz w:val="20"/>
        </w:rPr>
        <w:t>27%</w:t>
      </w:r>
      <w:r w:rsidR="006B5CE0">
        <w:rPr>
          <w:rFonts w:ascii="Cambria" w:eastAsia="Cambria" w:hAnsi="Cambria" w:cs="Cambria"/>
          <w:sz w:val="20"/>
        </w:rPr>
        <w:t xml:space="preserve">) </w:t>
      </w:r>
      <w:r>
        <w:rPr>
          <w:rFonts w:ascii="Cambria" w:eastAsia="Cambria" w:hAnsi="Cambria" w:cs="Cambria"/>
          <w:sz w:val="20"/>
        </w:rPr>
        <w:t xml:space="preserve">and slightly more </w:t>
      </w:r>
      <w:r w:rsidR="00B05A60">
        <w:rPr>
          <w:rFonts w:ascii="Cambria" w:eastAsia="Cambria" w:hAnsi="Cambria" w:cs="Cambria"/>
          <w:sz w:val="20"/>
        </w:rPr>
        <w:t>t</w:t>
      </w:r>
      <w:r>
        <w:rPr>
          <w:rFonts w:ascii="Cambria" w:eastAsia="Cambria" w:hAnsi="Cambria" w:cs="Cambria"/>
          <w:sz w:val="20"/>
        </w:rPr>
        <w:t>o marketing (23.7%) than its publically traded counterparts</w:t>
      </w:r>
      <w:r w:rsidR="007C3F50">
        <w:rPr>
          <w:rFonts w:ascii="Cambria" w:eastAsia="Cambria" w:hAnsi="Cambria" w:cs="Cambria"/>
          <w:sz w:val="20"/>
        </w:rPr>
        <w:t xml:space="preserve"> in 2009</w:t>
      </w:r>
    </w:p>
    <w:p w:rsidR="00A81897" w:rsidRPr="00113124" w:rsidRDefault="003F7B53" w:rsidP="00113124">
      <w:pPr>
        <w:pStyle w:val="normal0"/>
        <w:numPr>
          <w:ilvl w:val="0"/>
          <w:numId w:val="2"/>
        </w:numPr>
        <w:spacing w:after="0" w:line="240" w:lineRule="auto"/>
        <w:ind w:hanging="359"/>
        <w:contextualSpacing/>
        <w:rPr>
          <w:rFonts w:ascii="Cambria" w:eastAsia="Cambria" w:hAnsi="Cambria" w:cs="Cambria"/>
          <w:sz w:val="20"/>
        </w:rPr>
      </w:pPr>
      <w:r w:rsidRPr="00113124">
        <w:rPr>
          <w:rFonts w:asciiTheme="minorHAnsi" w:hAnsiTheme="minorHAnsi"/>
          <w:sz w:val="20"/>
        </w:rPr>
        <w:t xml:space="preserve">CEOs </w:t>
      </w:r>
      <w:r w:rsidR="00113124">
        <w:rPr>
          <w:rFonts w:asciiTheme="minorHAnsi" w:hAnsiTheme="minorHAnsi"/>
          <w:sz w:val="20"/>
        </w:rPr>
        <w:t xml:space="preserve">($3.4 million) and Board Chair </w:t>
      </w:r>
      <w:r w:rsidR="006E204D">
        <w:rPr>
          <w:rFonts w:asciiTheme="minorHAnsi" w:hAnsiTheme="minorHAnsi"/>
          <w:sz w:val="20"/>
        </w:rPr>
        <w:t>($8.6</w:t>
      </w:r>
      <w:r w:rsidR="00113124">
        <w:rPr>
          <w:rFonts w:asciiTheme="minorHAnsi" w:hAnsiTheme="minorHAnsi"/>
          <w:sz w:val="20"/>
        </w:rPr>
        <w:t xml:space="preserve"> million) </w:t>
      </w:r>
      <w:r w:rsidRPr="00113124">
        <w:rPr>
          <w:rFonts w:asciiTheme="minorHAnsi" w:hAnsiTheme="minorHAnsi"/>
          <w:sz w:val="20"/>
        </w:rPr>
        <w:t xml:space="preserve">earned </w:t>
      </w:r>
      <w:r w:rsidR="00113124">
        <w:rPr>
          <w:rFonts w:asciiTheme="minorHAnsi" w:hAnsiTheme="minorHAnsi"/>
          <w:sz w:val="20"/>
        </w:rPr>
        <w:t>over 5 and 13 times more</w:t>
      </w:r>
      <w:r w:rsidR="007C1D8B">
        <w:rPr>
          <w:rFonts w:asciiTheme="minorHAnsi" w:hAnsiTheme="minorHAnsi"/>
          <w:sz w:val="20"/>
        </w:rPr>
        <w:t>, respectively,</w:t>
      </w:r>
      <w:r w:rsidR="00113124">
        <w:rPr>
          <w:rFonts w:asciiTheme="minorHAnsi" w:hAnsiTheme="minorHAnsi"/>
          <w:sz w:val="20"/>
        </w:rPr>
        <w:t xml:space="preserve"> than </w:t>
      </w:r>
      <w:r w:rsidRPr="00113124">
        <w:rPr>
          <w:rFonts w:asciiTheme="minorHAnsi" w:hAnsiTheme="minorHAnsi"/>
          <w:sz w:val="20"/>
        </w:rPr>
        <w:t>President of the University of Arizona</w:t>
      </w:r>
      <w:r w:rsidR="006E204D">
        <w:rPr>
          <w:rFonts w:asciiTheme="minorHAnsi" w:hAnsiTheme="minorHAnsi"/>
          <w:sz w:val="20"/>
        </w:rPr>
        <w:t xml:space="preserve"> ($633,000)</w:t>
      </w:r>
    </w:p>
    <w:p w:rsidR="00A81897" w:rsidRDefault="00213222">
      <w:pPr>
        <w:pStyle w:val="normal0"/>
        <w:numPr>
          <w:ilvl w:val="0"/>
          <w:numId w:val="2"/>
        </w:numPr>
        <w:spacing w:after="0" w:line="240" w:lineRule="auto"/>
        <w:ind w:hanging="359"/>
        <w:contextualSpacing/>
      </w:pPr>
      <w:r w:rsidRPr="00113124">
        <w:rPr>
          <w:rFonts w:ascii="Cambria" w:eastAsia="Cambria" w:hAnsi="Cambria" w:cs="Cambria"/>
          <w:sz w:val="20"/>
        </w:rPr>
        <w:t xml:space="preserve">Only </w:t>
      </w:r>
      <w:r w:rsidR="007E3365">
        <w:rPr>
          <w:rFonts w:ascii="Cambria" w:eastAsia="Cambria" w:hAnsi="Cambria" w:cs="Cambria"/>
          <w:sz w:val="20"/>
        </w:rPr>
        <w:t xml:space="preserve">spent $892 per student </w:t>
      </w:r>
      <w:r w:rsidRPr="00113124">
        <w:rPr>
          <w:rFonts w:ascii="Cambria" w:eastAsia="Cambria" w:hAnsi="Cambria" w:cs="Cambria"/>
          <w:sz w:val="20"/>
        </w:rPr>
        <w:t>on instruction in 2009</w:t>
      </w:r>
      <w:r w:rsidR="007E3365">
        <w:rPr>
          <w:rFonts w:ascii="Cambria" w:eastAsia="Cambria" w:hAnsi="Cambria" w:cs="Cambria"/>
          <w:sz w:val="20"/>
        </w:rPr>
        <w:t>,</w:t>
      </w:r>
      <w:r w:rsidRPr="00113124">
        <w:rPr>
          <w:rFonts w:ascii="Cambria" w:eastAsia="Cambria" w:hAnsi="Cambria" w:cs="Cambria"/>
          <w:sz w:val="20"/>
        </w:rPr>
        <w:t xml:space="preserve"> a</w:t>
      </w:r>
      <w:r w:rsidR="00B05A60">
        <w:rPr>
          <w:rFonts w:ascii="Cambria" w:eastAsia="Cambria" w:hAnsi="Cambria" w:cs="Cambria"/>
          <w:sz w:val="20"/>
        </w:rPr>
        <w:t>mong the lowest in the industry</w:t>
      </w:r>
      <w:r w:rsidR="007E3365">
        <w:rPr>
          <w:rFonts w:ascii="Cambria" w:eastAsia="Cambria" w:hAnsi="Cambria" w:cs="Cambria"/>
          <w:sz w:val="20"/>
        </w:rPr>
        <w:t xml:space="preserve">, </w:t>
      </w:r>
      <w:r w:rsidR="00B05A60">
        <w:rPr>
          <w:rFonts w:ascii="Cambria" w:eastAsia="Cambria" w:hAnsi="Cambria" w:cs="Cambria"/>
          <w:sz w:val="20"/>
        </w:rPr>
        <w:t xml:space="preserve">versus </w:t>
      </w:r>
      <w:r w:rsidRPr="00113124">
        <w:rPr>
          <w:rFonts w:ascii="Cambria" w:eastAsia="Cambria" w:hAnsi="Cambria" w:cs="Cambria"/>
          <w:sz w:val="20"/>
        </w:rPr>
        <w:t>$3,344 at a comparable community college and</w:t>
      </w:r>
      <w:r w:rsidR="00B05A60">
        <w:rPr>
          <w:rFonts w:ascii="Cambria" w:eastAsia="Cambria" w:hAnsi="Cambria" w:cs="Cambria"/>
          <w:sz w:val="20"/>
        </w:rPr>
        <w:t xml:space="preserve"> $11,128 at 4-year state school</w:t>
      </w:r>
    </w:p>
    <w:p w:rsidR="00A81897" w:rsidRDefault="00213222">
      <w:pPr>
        <w:pStyle w:val="normal0"/>
        <w:numPr>
          <w:ilvl w:val="0"/>
          <w:numId w:val="2"/>
        </w:numPr>
        <w:spacing w:after="0" w:line="240" w:lineRule="auto"/>
        <w:ind w:hanging="359"/>
        <w:contextualSpacing/>
      </w:pPr>
      <w:r>
        <w:rPr>
          <w:rFonts w:ascii="Cambria" w:eastAsia="Cambria" w:hAnsi="Cambria" w:cs="Cambria"/>
          <w:sz w:val="20"/>
        </w:rPr>
        <w:t xml:space="preserve">Spent $2,225 </w:t>
      </w:r>
      <w:r w:rsidR="00B05A60">
        <w:rPr>
          <w:rFonts w:ascii="Cambria" w:eastAsia="Cambria" w:hAnsi="Cambria" w:cs="Cambria"/>
          <w:sz w:val="20"/>
        </w:rPr>
        <w:t xml:space="preserve">and $2,535 </w:t>
      </w:r>
      <w:r>
        <w:rPr>
          <w:rFonts w:ascii="Cambria" w:eastAsia="Cambria" w:hAnsi="Cambria" w:cs="Cambria"/>
          <w:sz w:val="20"/>
        </w:rPr>
        <w:t>per student on marketing</w:t>
      </w:r>
      <w:r w:rsidR="00B05A60">
        <w:rPr>
          <w:rFonts w:ascii="Cambria" w:eastAsia="Cambria" w:hAnsi="Cambria" w:cs="Cambria"/>
          <w:sz w:val="20"/>
        </w:rPr>
        <w:t xml:space="preserve"> and profit, respectively</w:t>
      </w:r>
      <w:r>
        <w:rPr>
          <w:rFonts w:ascii="Cambria" w:eastAsia="Cambria" w:hAnsi="Cambria" w:cs="Cambria"/>
          <w:sz w:val="20"/>
        </w:rPr>
        <w:t xml:space="preserve"> </w:t>
      </w:r>
    </w:p>
    <w:p w:rsidR="007E3365" w:rsidRDefault="007E3365">
      <w:pPr>
        <w:pStyle w:val="Heading1"/>
        <w:spacing w:before="0" w:line="240" w:lineRule="auto"/>
      </w:pPr>
    </w:p>
    <w:p w:rsidR="007E3365" w:rsidRDefault="007E3365" w:rsidP="007E3365">
      <w:pPr>
        <w:pStyle w:val="Heading1"/>
        <w:spacing w:before="0" w:line="240" w:lineRule="auto"/>
      </w:pPr>
      <w:r>
        <w:rPr>
          <w:color w:val="0000FF"/>
          <w:sz w:val="28"/>
        </w:rPr>
        <w:t>Recruiting Tactics</w:t>
      </w:r>
    </w:p>
    <w:p w:rsidR="007E3365" w:rsidRPr="00F91223" w:rsidRDefault="007E3365" w:rsidP="007E3365">
      <w:pPr>
        <w:pStyle w:val="normal0"/>
        <w:numPr>
          <w:ilvl w:val="0"/>
          <w:numId w:val="4"/>
        </w:numPr>
        <w:spacing w:after="0" w:line="240" w:lineRule="auto"/>
        <w:ind w:hanging="359"/>
        <w:contextualSpacing/>
        <w:rPr>
          <w:rFonts w:ascii="Cambria" w:eastAsia="Cambria" w:hAnsi="Cambria" w:cs="Cambria"/>
          <w:sz w:val="20"/>
        </w:rPr>
      </w:pPr>
      <w:r w:rsidRPr="00F91223">
        <w:rPr>
          <w:rFonts w:ascii="Cambria" w:eastAsia="Cambria" w:hAnsi="Cambria" w:cs="Cambria"/>
          <w:sz w:val="20"/>
        </w:rPr>
        <w:t>Recruiters trained in aggressive tactics, pushing prospective students to enroll by creating a sense of urgency—“Do not tell the student we have classes running every week unless you can agree on a start date…” or “it looks like I might be able to squeeze you into” the next start date.</w:t>
      </w:r>
    </w:p>
    <w:p w:rsidR="007E3365" w:rsidRDefault="007E3365" w:rsidP="007E3365">
      <w:pPr>
        <w:pStyle w:val="normal0"/>
        <w:numPr>
          <w:ilvl w:val="0"/>
          <w:numId w:val="4"/>
        </w:numPr>
        <w:spacing w:after="0" w:line="240" w:lineRule="auto"/>
        <w:ind w:hanging="359"/>
        <w:contextualSpacing/>
        <w:rPr>
          <w:rFonts w:ascii="Cambria" w:eastAsia="Cambria" w:hAnsi="Cambria" w:cs="Cambria"/>
          <w:sz w:val="20"/>
        </w:rPr>
      </w:pPr>
      <w:bookmarkStart w:id="0" w:name="h.y4ycmpiffsc0" w:colFirst="0" w:colLast="0"/>
      <w:bookmarkEnd w:id="0"/>
      <w:r>
        <w:rPr>
          <w:rFonts w:ascii="Cambria" w:eastAsia="Cambria" w:hAnsi="Cambria" w:cs="Cambria"/>
          <w:sz w:val="20"/>
        </w:rPr>
        <w:t>Undercover Government Accountability Office visits to campuses showed multiple incidents of deceptive and misleading recruitment tactics involving the cost of attendance.</w:t>
      </w:r>
    </w:p>
    <w:p w:rsidR="007E3365" w:rsidRDefault="007E3365" w:rsidP="007E3365">
      <w:pPr>
        <w:pStyle w:val="normal0"/>
        <w:numPr>
          <w:ilvl w:val="0"/>
          <w:numId w:val="4"/>
        </w:numPr>
        <w:spacing w:after="0" w:line="240" w:lineRule="auto"/>
        <w:ind w:hanging="359"/>
        <w:contextualSpacing/>
        <w:rPr>
          <w:rFonts w:ascii="Cambria" w:eastAsia="Cambria" w:hAnsi="Cambria" w:cs="Cambria"/>
          <w:sz w:val="20"/>
        </w:rPr>
      </w:pPr>
      <w:bookmarkStart w:id="1" w:name="h.xpy7hij6j8f1" w:colFirst="0" w:colLast="0"/>
      <w:bookmarkEnd w:id="1"/>
      <w:r>
        <w:rPr>
          <w:rFonts w:ascii="Cambria" w:eastAsia="Cambria" w:hAnsi="Cambria" w:cs="Cambria"/>
          <w:sz w:val="20"/>
        </w:rPr>
        <w:t xml:space="preserve">In 2004, the Department of Education alleged Apollo had violated rules regarding </w:t>
      </w:r>
      <w:r w:rsidR="0019093B">
        <w:rPr>
          <w:rFonts w:ascii="Cambria" w:eastAsia="Cambria" w:hAnsi="Cambria" w:cs="Cambria"/>
          <w:sz w:val="20"/>
        </w:rPr>
        <w:t xml:space="preserve">impact of </w:t>
      </w:r>
      <w:r>
        <w:rPr>
          <w:rFonts w:ascii="Cambria" w:eastAsia="Cambria" w:hAnsi="Cambria" w:cs="Cambria"/>
          <w:sz w:val="20"/>
        </w:rPr>
        <w:t xml:space="preserve">the number of students </w:t>
      </w:r>
      <w:r w:rsidR="0019093B">
        <w:rPr>
          <w:rFonts w:ascii="Cambria" w:eastAsia="Cambria" w:hAnsi="Cambria" w:cs="Cambria"/>
          <w:sz w:val="20"/>
        </w:rPr>
        <w:t xml:space="preserve">a recruiter successfully </w:t>
      </w:r>
      <w:r>
        <w:rPr>
          <w:rFonts w:ascii="Cambria" w:eastAsia="Cambria" w:hAnsi="Cambria" w:cs="Cambria"/>
          <w:sz w:val="20"/>
        </w:rPr>
        <w:t xml:space="preserve">enrolled </w:t>
      </w:r>
      <w:r w:rsidR="0019093B">
        <w:rPr>
          <w:rFonts w:ascii="Cambria" w:eastAsia="Cambria" w:hAnsi="Cambria" w:cs="Cambria"/>
          <w:sz w:val="20"/>
        </w:rPr>
        <w:t>on recruiters’ pay</w:t>
      </w:r>
    </w:p>
    <w:p w:rsidR="00A0380F" w:rsidRPr="00A0380F" w:rsidRDefault="00153DEC" w:rsidP="00A0380F">
      <w:pPr>
        <w:pStyle w:val="normal0"/>
        <w:numPr>
          <w:ilvl w:val="0"/>
          <w:numId w:val="4"/>
        </w:numPr>
        <w:spacing w:after="0" w:line="240" w:lineRule="auto"/>
        <w:ind w:hanging="359"/>
        <w:contextualSpacing/>
        <w:rPr>
          <w:rFonts w:asciiTheme="minorHAnsi" w:eastAsia="Cambria" w:hAnsiTheme="minorHAnsi" w:cs="Cambria"/>
          <w:sz w:val="20"/>
        </w:rPr>
      </w:pPr>
      <w:bookmarkStart w:id="2" w:name="h.30j0zll" w:colFirst="0" w:colLast="0"/>
      <w:bookmarkEnd w:id="2"/>
      <w:r>
        <w:rPr>
          <w:rFonts w:asciiTheme="minorHAnsi" w:eastAsia="Cambria" w:hAnsiTheme="minorHAnsi" w:cs="Cambria"/>
          <w:sz w:val="20"/>
        </w:rPr>
        <w:t>3</w:t>
      </w:r>
      <w:r w:rsidR="007E3365" w:rsidRPr="009D4130">
        <w:rPr>
          <w:rFonts w:asciiTheme="minorHAnsi" w:eastAsia="Cambria" w:hAnsiTheme="minorHAnsi" w:cs="Cambria"/>
          <w:sz w:val="20"/>
        </w:rPr>
        <w:t xml:space="preserve"> state</w:t>
      </w:r>
      <w:r w:rsidR="009D4130" w:rsidRPr="009D4130">
        <w:rPr>
          <w:rFonts w:asciiTheme="minorHAnsi" w:eastAsia="Cambria" w:hAnsiTheme="minorHAnsi" w:cs="Cambria"/>
          <w:sz w:val="20"/>
        </w:rPr>
        <w:t xml:space="preserve"> A</w:t>
      </w:r>
      <w:r w:rsidR="007E3365" w:rsidRPr="009D4130">
        <w:rPr>
          <w:rFonts w:asciiTheme="minorHAnsi" w:eastAsia="Cambria" w:hAnsiTheme="minorHAnsi" w:cs="Cambria"/>
          <w:sz w:val="20"/>
        </w:rPr>
        <w:t>ttorney</w:t>
      </w:r>
      <w:r w:rsidR="009D4130" w:rsidRPr="009D4130">
        <w:rPr>
          <w:rFonts w:asciiTheme="minorHAnsi" w:eastAsia="Cambria" w:hAnsiTheme="minorHAnsi" w:cs="Cambria"/>
          <w:sz w:val="20"/>
        </w:rPr>
        <w:t>s G</w:t>
      </w:r>
      <w:r w:rsidR="007E3365" w:rsidRPr="009D4130">
        <w:rPr>
          <w:rFonts w:asciiTheme="minorHAnsi" w:eastAsia="Cambria" w:hAnsiTheme="minorHAnsi" w:cs="Cambria"/>
          <w:sz w:val="20"/>
        </w:rPr>
        <w:t xml:space="preserve">eneral </w:t>
      </w:r>
      <w:r w:rsidR="009D4130">
        <w:rPr>
          <w:rFonts w:asciiTheme="minorHAnsi" w:eastAsia="Cambria" w:hAnsiTheme="minorHAnsi" w:cs="Cambria"/>
          <w:sz w:val="20"/>
        </w:rPr>
        <w:t xml:space="preserve">are investigating the school’s business practices, including use of </w:t>
      </w:r>
      <w:r w:rsidR="007E3365" w:rsidRPr="009D4130">
        <w:rPr>
          <w:rFonts w:asciiTheme="minorHAnsi" w:eastAsia="Cambria" w:hAnsiTheme="minorHAnsi" w:cs="Cambria"/>
          <w:sz w:val="20"/>
        </w:rPr>
        <w:t>"unfair or deceptive recruiting tactics" and "</w:t>
      </w:r>
      <w:r w:rsidR="007E3365" w:rsidRPr="009D4130">
        <w:rPr>
          <w:rFonts w:asciiTheme="minorHAnsi" w:hAnsiTheme="minorHAnsi"/>
          <w:sz w:val="20"/>
        </w:rPr>
        <w:t>misrepresentations regarding financial aid</w:t>
      </w:r>
      <w:r w:rsidR="007E3365" w:rsidRPr="009D4130">
        <w:rPr>
          <w:rFonts w:asciiTheme="minorHAnsi" w:hAnsiTheme="minorHAnsi"/>
        </w:rPr>
        <w:t>"</w:t>
      </w:r>
    </w:p>
    <w:p w:rsidR="00153DEC" w:rsidRPr="00A0380F" w:rsidRDefault="00153DEC" w:rsidP="00A0380F">
      <w:pPr>
        <w:pStyle w:val="normal0"/>
        <w:numPr>
          <w:ilvl w:val="0"/>
          <w:numId w:val="4"/>
        </w:numPr>
        <w:spacing w:after="0" w:line="240" w:lineRule="auto"/>
        <w:ind w:hanging="359"/>
        <w:contextualSpacing/>
        <w:rPr>
          <w:rFonts w:asciiTheme="minorHAnsi" w:eastAsia="Cambria" w:hAnsiTheme="minorHAnsi" w:cs="Cambria"/>
          <w:sz w:val="20"/>
        </w:rPr>
      </w:pPr>
      <w:r w:rsidRPr="00A0380F">
        <w:rPr>
          <w:rFonts w:asciiTheme="minorHAnsi" w:hAnsiTheme="minorHAnsi"/>
          <w:color w:val="352D28"/>
          <w:szCs w:val="18"/>
        </w:rPr>
        <w:t>In 2004, agreed to pay $9.8 million to the Dept. of Education for threatening and intimidating its recruitment staff, pressuring them to enroll unqualified students, and covering up its practices to deceive regulators</w:t>
      </w:r>
    </w:p>
    <w:p w:rsidR="00A81897" w:rsidRPr="00A0380F" w:rsidRDefault="00A81897" w:rsidP="00A0380F">
      <w:pPr>
        <w:pStyle w:val="normal0"/>
        <w:tabs>
          <w:tab w:val="left" w:pos="810"/>
        </w:tabs>
        <w:spacing w:after="0" w:line="240" w:lineRule="auto"/>
        <w:ind w:left="359"/>
        <w:contextualSpacing/>
        <w:rPr>
          <w:rFonts w:asciiTheme="minorHAnsi" w:eastAsia="Cambria" w:hAnsiTheme="minorHAnsi" w:cs="Cambria"/>
          <w:sz w:val="20"/>
        </w:rPr>
      </w:pPr>
    </w:p>
    <w:p w:rsidR="00A81897" w:rsidRDefault="00213222">
      <w:pPr>
        <w:pStyle w:val="Heading1"/>
        <w:spacing w:before="0" w:line="240" w:lineRule="auto"/>
      </w:pPr>
      <w:bookmarkStart w:id="3" w:name="h.gjdgxs" w:colFirst="0" w:colLast="0"/>
      <w:bookmarkEnd w:id="3"/>
      <w:r>
        <w:rPr>
          <w:color w:val="0000FF"/>
          <w:sz w:val="28"/>
        </w:rPr>
        <w:t xml:space="preserve">Academic Quality and </w:t>
      </w:r>
      <w:r w:rsidR="000B3872">
        <w:rPr>
          <w:color w:val="0000FF"/>
          <w:sz w:val="28"/>
        </w:rPr>
        <w:t>Student Outcomes</w:t>
      </w:r>
    </w:p>
    <w:p w:rsidR="00A81897" w:rsidRPr="0019093B" w:rsidRDefault="00213222" w:rsidP="008D4C4A">
      <w:pPr>
        <w:pStyle w:val="normal0"/>
        <w:numPr>
          <w:ilvl w:val="0"/>
          <w:numId w:val="3"/>
        </w:numPr>
        <w:spacing w:after="0" w:line="240" w:lineRule="auto"/>
        <w:ind w:left="360" w:hanging="360"/>
        <w:contextualSpacing/>
        <w:rPr>
          <w:rFonts w:asciiTheme="minorHAnsi" w:hAnsiTheme="minorHAnsi"/>
          <w:sz w:val="20"/>
        </w:rPr>
      </w:pPr>
      <w:r w:rsidRPr="0019093B">
        <w:rPr>
          <w:rFonts w:ascii="Cambria" w:eastAsia="Cambria" w:hAnsi="Cambria" w:cs="Cambria"/>
          <w:sz w:val="20"/>
        </w:rPr>
        <w:t>96% of faculty are part-time</w:t>
      </w:r>
      <w:r w:rsidR="0019093B">
        <w:rPr>
          <w:rFonts w:ascii="Cambria" w:eastAsia="Cambria" w:hAnsi="Cambria" w:cs="Cambria"/>
          <w:sz w:val="20"/>
        </w:rPr>
        <w:t xml:space="preserve"> in 2010</w:t>
      </w:r>
      <w:r w:rsidR="0019093B" w:rsidRPr="0019093B">
        <w:rPr>
          <w:rFonts w:ascii="Cambria" w:eastAsia="Cambria" w:hAnsi="Cambria" w:cs="Cambria"/>
          <w:sz w:val="20"/>
        </w:rPr>
        <w:t>, much higher than the 80% a</w:t>
      </w:r>
      <w:r w:rsidR="0019093B">
        <w:rPr>
          <w:rFonts w:ascii="Cambria" w:eastAsia="Cambria" w:hAnsi="Cambria" w:cs="Cambria"/>
          <w:sz w:val="20"/>
        </w:rPr>
        <w:t>verage at the 30 schools survey</w:t>
      </w:r>
      <w:r w:rsidR="0019093B" w:rsidRPr="0019093B">
        <w:rPr>
          <w:rFonts w:ascii="Cambria" w:eastAsia="Cambria" w:hAnsi="Cambria" w:cs="Cambria"/>
          <w:sz w:val="20"/>
        </w:rPr>
        <w:t>ed</w:t>
      </w:r>
      <w:r w:rsidR="00FE2DE9" w:rsidRPr="0019093B">
        <w:rPr>
          <w:rFonts w:ascii="Cambria" w:eastAsia="Cambria" w:hAnsi="Cambria" w:cs="Cambria"/>
          <w:sz w:val="20"/>
        </w:rPr>
        <w:t xml:space="preserve">, </w:t>
      </w:r>
      <w:r w:rsidR="00820C08" w:rsidRPr="0019093B">
        <w:rPr>
          <w:rFonts w:ascii="Cambria" w:eastAsia="Cambria" w:hAnsi="Cambria" w:cs="Cambria"/>
          <w:sz w:val="20"/>
        </w:rPr>
        <w:t>raising questions about their ability to exercise academic independence to</w:t>
      </w:r>
      <w:r w:rsidR="0019093B" w:rsidRPr="0019093B">
        <w:rPr>
          <w:rFonts w:ascii="Cambria" w:eastAsia="Cambria" w:hAnsi="Cambria" w:cs="Cambria"/>
          <w:sz w:val="20"/>
        </w:rPr>
        <w:t xml:space="preserve"> </w:t>
      </w:r>
      <w:r w:rsidR="00820C08" w:rsidRPr="0019093B">
        <w:rPr>
          <w:rFonts w:ascii="Cambria" w:eastAsia="Cambria" w:hAnsi="Cambria" w:cs="Cambria"/>
          <w:sz w:val="20"/>
        </w:rPr>
        <w:t>balance the company’s business interests</w:t>
      </w:r>
    </w:p>
    <w:p w:rsidR="008D4C4A" w:rsidRDefault="00211823" w:rsidP="008D4C4A">
      <w:pPr>
        <w:pStyle w:val="normal0"/>
        <w:numPr>
          <w:ilvl w:val="0"/>
          <w:numId w:val="3"/>
        </w:numPr>
        <w:spacing w:after="0" w:line="240" w:lineRule="auto"/>
        <w:ind w:left="360" w:hanging="360"/>
        <w:contextualSpacing/>
        <w:rPr>
          <w:rFonts w:asciiTheme="minorHAnsi" w:hAnsiTheme="minorHAnsi"/>
          <w:sz w:val="20"/>
        </w:rPr>
      </w:pPr>
      <w:r w:rsidRPr="0019093B">
        <w:rPr>
          <w:rFonts w:asciiTheme="minorHAnsi" w:hAnsiTheme="minorHAnsi"/>
          <w:sz w:val="20"/>
        </w:rPr>
        <w:t xml:space="preserve">Apollo’s </w:t>
      </w:r>
      <w:proofErr w:type="spellStart"/>
      <w:r w:rsidRPr="0019093B">
        <w:rPr>
          <w:rFonts w:asciiTheme="minorHAnsi" w:hAnsiTheme="minorHAnsi"/>
          <w:sz w:val="20"/>
        </w:rPr>
        <w:t>accredito</w:t>
      </w:r>
      <w:r w:rsidR="008A285A" w:rsidRPr="0019093B">
        <w:rPr>
          <w:rFonts w:asciiTheme="minorHAnsi" w:hAnsiTheme="minorHAnsi"/>
          <w:sz w:val="20"/>
        </w:rPr>
        <w:t>r</w:t>
      </w:r>
      <w:proofErr w:type="spellEnd"/>
      <w:r w:rsidR="008A285A" w:rsidRPr="0019093B">
        <w:rPr>
          <w:rFonts w:asciiTheme="minorHAnsi" w:hAnsiTheme="minorHAnsi"/>
          <w:sz w:val="20"/>
        </w:rPr>
        <w:t xml:space="preserve"> expressed concer</w:t>
      </w:r>
      <w:r w:rsidR="008D4C4A" w:rsidRPr="0019093B">
        <w:rPr>
          <w:rFonts w:asciiTheme="minorHAnsi" w:hAnsiTheme="minorHAnsi"/>
          <w:sz w:val="20"/>
        </w:rPr>
        <w:t>n about use of “independent” study, which has minimal instructor supervision and appears to be used to prevent withdrawal</w:t>
      </w:r>
      <w:r w:rsidR="00057D30" w:rsidRPr="0019093B">
        <w:rPr>
          <w:rFonts w:asciiTheme="minorHAnsi" w:hAnsiTheme="minorHAnsi"/>
          <w:sz w:val="20"/>
        </w:rPr>
        <w:t>s</w:t>
      </w:r>
    </w:p>
    <w:p w:rsidR="00A33914" w:rsidRPr="008D4C4A" w:rsidRDefault="00213222" w:rsidP="008D4C4A">
      <w:pPr>
        <w:pStyle w:val="normal0"/>
        <w:numPr>
          <w:ilvl w:val="0"/>
          <w:numId w:val="3"/>
        </w:numPr>
        <w:spacing w:after="0" w:line="240" w:lineRule="auto"/>
        <w:ind w:left="360" w:hanging="360"/>
        <w:contextualSpacing/>
        <w:rPr>
          <w:rFonts w:asciiTheme="minorHAnsi" w:hAnsiTheme="minorHAnsi"/>
          <w:sz w:val="20"/>
        </w:rPr>
      </w:pPr>
      <w:r w:rsidRPr="008D4C4A">
        <w:rPr>
          <w:rFonts w:ascii="Cambria" w:eastAsia="Cambria" w:hAnsi="Cambria" w:cs="Cambria"/>
          <w:sz w:val="20"/>
        </w:rPr>
        <w:t xml:space="preserve">In 2008-9, 60.5% withdrew by mid-2010, with a median of only 4 months enrolled. </w:t>
      </w:r>
      <w:r w:rsidR="00A33914" w:rsidRPr="008D4C4A">
        <w:rPr>
          <w:rFonts w:ascii="Cambria" w:eastAsia="Cambria" w:hAnsi="Cambria" w:cs="Cambria"/>
          <w:sz w:val="20"/>
        </w:rPr>
        <w:t xml:space="preserve">Of those who withdrew, an estimated </w:t>
      </w:r>
      <w:r w:rsidRPr="008D4C4A">
        <w:rPr>
          <w:rFonts w:ascii="Cambria" w:eastAsia="Cambria" w:hAnsi="Cambria" w:cs="Cambria"/>
          <w:sz w:val="20"/>
        </w:rPr>
        <w:t xml:space="preserve">75% </w:t>
      </w:r>
      <w:r w:rsidR="00A33914" w:rsidRPr="008D4C4A">
        <w:rPr>
          <w:rFonts w:ascii="Cambria" w:eastAsia="Cambria" w:hAnsi="Cambria" w:cs="Cambria"/>
          <w:sz w:val="20"/>
        </w:rPr>
        <w:t>were</w:t>
      </w:r>
      <w:r w:rsidRPr="008D4C4A">
        <w:rPr>
          <w:rFonts w:ascii="Cambria" w:eastAsia="Cambria" w:hAnsi="Cambria" w:cs="Cambria"/>
          <w:sz w:val="20"/>
        </w:rPr>
        <w:t xml:space="preserve"> online students</w:t>
      </w:r>
    </w:p>
    <w:p w:rsidR="00A81897" w:rsidRDefault="00A33914" w:rsidP="00E12B17">
      <w:pPr>
        <w:pStyle w:val="normal0"/>
        <w:numPr>
          <w:ilvl w:val="0"/>
          <w:numId w:val="3"/>
        </w:numPr>
        <w:spacing w:after="0" w:line="240" w:lineRule="auto"/>
        <w:ind w:left="360" w:hanging="360"/>
        <w:contextualSpacing/>
      </w:pPr>
      <w:r>
        <w:rPr>
          <w:rFonts w:ascii="Cambria" w:eastAsia="Cambria" w:hAnsi="Cambria" w:cs="Cambria"/>
          <w:sz w:val="20"/>
        </w:rPr>
        <w:t xml:space="preserve">Across the 30 companies </w:t>
      </w:r>
      <w:r w:rsidR="00EC2A7A">
        <w:rPr>
          <w:rFonts w:ascii="Cambria" w:eastAsia="Cambria" w:hAnsi="Cambria" w:cs="Cambria"/>
          <w:sz w:val="20"/>
        </w:rPr>
        <w:t>surveyed</w:t>
      </w:r>
      <w:r>
        <w:rPr>
          <w:rFonts w:ascii="Cambria" w:eastAsia="Cambria" w:hAnsi="Cambria" w:cs="Cambria"/>
          <w:sz w:val="20"/>
        </w:rPr>
        <w:t xml:space="preserve">, Apollo accounted for </w:t>
      </w:r>
      <w:r w:rsidR="00222D95">
        <w:rPr>
          <w:rFonts w:ascii="Cambria" w:eastAsia="Cambria" w:hAnsi="Cambria" w:cs="Cambria"/>
          <w:sz w:val="20"/>
        </w:rPr>
        <w:t xml:space="preserve">more than a quarter of all </w:t>
      </w:r>
      <w:r>
        <w:rPr>
          <w:rFonts w:ascii="Cambria" w:eastAsia="Cambria" w:hAnsi="Cambria" w:cs="Cambria"/>
          <w:sz w:val="20"/>
        </w:rPr>
        <w:t>withdraw</w:t>
      </w:r>
      <w:r w:rsidR="00222D95">
        <w:rPr>
          <w:rFonts w:ascii="Cambria" w:eastAsia="Cambria" w:hAnsi="Cambria" w:cs="Cambria"/>
          <w:sz w:val="20"/>
        </w:rPr>
        <w:t>a</w:t>
      </w:r>
      <w:r>
        <w:rPr>
          <w:rFonts w:ascii="Cambria" w:eastAsia="Cambria" w:hAnsi="Cambria" w:cs="Cambria"/>
          <w:sz w:val="20"/>
        </w:rPr>
        <w:t>ls</w:t>
      </w:r>
      <w:r w:rsidR="00A43E98">
        <w:rPr>
          <w:rFonts w:ascii="Cambria" w:eastAsia="Cambria" w:hAnsi="Cambria" w:cs="Cambria"/>
          <w:sz w:val="20"/>
        </w:rPr>
        <w:t>, with a higher withdrawal rate than other proprietary schools surveyed</w:t>
      </w:r>
    </w:p>
    <w:p w:rsidR="00A81897" w:rsidRDefault="00F81085" w:rsidP="00E12B17">
      <w:pPr>
        <w:pStyle w:val="normal0"/>
        <w:numPr>
          <w:ilvl w:val="0"/>
          <w:numId w:val="3"/>
        </w:numPr>
        <w:spacing w:after="0" w:line="240" w:lineRule="auto"/>
        <w:ind w:left="360" w:hanging="360"/>
        <w:contextualSpacing/>
      </w:pPr>
      <w:r>
        <w:rPr>
          <w:rFonts w:ascii="Cambria" w:eastAsia="Cambria" w:hAnsi="Cambria" w:cs="Cambria"/>
          <w:sz w:val="20"/>
        </w:rPr>
        <w:t>D</w:t>
      </w:r>
      <w:r w:rsidR="00213222">
        <w:rPr>
          <w:rFonts w:ascii="Cambria" w:eastAsia="Cambria" w:hAnsi="Cambria" w:cs="Cambria"/>
          <w:sz w:val="20"/>
        </w:rPr>
        <w:t xml:space="preserve">efault rates </w:t>
      </w:r>
      <w:r>
        <w:rPr>
          <w:rFonts w:ascii="Cambria" w:eastAsia="Cambria" w:hAnsi="Cambria" w:cs="Cambria"/>
          <w:sz w:val="20"/>
        </w:rPr>
        <w:t>for students entering repayment in 2008</w:t>
      </w:r>
      <w:r w:rsidRPr="00F81085">
        <w:rPr>
          <w:rFonts w:ascii="Cambria" w:eastAsia="Cambria" w:hAnsi="Cambria" w:cs="Cambria"/>
          <w:sz w:val="20"/>
        </w:rPr>
        <w:t xml:space="preserve"> </w:t>
      </w:r>
      <w:r>
        <w:rPr>
          <w:rFonts w:ascii="Cambria" w:eastAsia="Cambria" w:hAnsi="Cambria" w:cs="Cambria"/>
          <w:sz w:val="20"/>
        </w:rPr>
        <w:t>were 20.9%, nearly double the 2005 rate</w:t>
      </w:r>
      <w:r w:rsidR="002200C6">
        <w:rPr>
          <w:rFonts w:ascii="Cambria" w:eastAsia="Cambria" w:hAnsi="Cambria" w:cs="Cambria"/>
          <w:sz w:val="20"/>
        </w:rPr>
        <w:t xml:space="preserve"> and was expected to increase to about 27% for 2009</w:t>
      </w:r>
    </w:p>
    <w:p w:rsidR="00E431FD" w:rsidRPr="00E431FD" w:rsidRDefault="00F65D46" w:rsidP="00E12B17">
      <w:pPr>
        <w:pStyle w:val="normal0"/>
        <w:numPr>
          <w:ilvl w:val="0"/>
          <w:numId w:val="3"/>
        </w:numPr>
        <w:spacing w:after="0" w:line="240" w:lineRule="auto"/>
        <w:ind w:left="360" w:hanging="360"/>
        <w:contextualSpacing/>
      </w:pPr>
      <w:r>
        <w:rPr>
          <w:rFonts w:ascii="Cambria" w:eastAsia="Cambria" w:hAnsi="Cambria" w:cs="Cambria"/>
          <w:sz w:val="20"/>
        </w:rPr>
        <w:t xml:space="preserve">School </w:t>
      </w:r>
      <w:r w:rsidR="00213222">
        <w:rPr>
          <w:rFonts w:ascii="Cambria" w:eastAsia="Cambria" w:hAnsi="Cambria" w:cs="Cambria"/>
          <w:sz w:val="20"/>
        </w:rPr>
        <w:t xml:space="preserve">projects lifetime default rates </w:t>
      </w:r>
      <w:r>
        <w:rPr>
          <w:rFonts w:ascii="Cambria" w:eastAsia="Cambria" w:hAnsi="Cambria" w:cs="Cambria"/>
          <w:sz w:val="20"/>
        </w:rPr>
        <w:t xml:space="preserve">of 77.6% </w:t>
      </w:r>
      <w:r w:rsidR="00213222">
        <w:rPr>
          <w:rFonts w:ascii="Cambria" w:eastAsia="Cambria" w:hAnsi="Cambria" w:cs="Cambria"/>
          <w:sz w:val="20"/>
        </w:rPr>
        <w:t xml:space="preserve">for those </w:t>
      </w:r>
      <w:r>
        <w:rPr>
          <w:rFonts w:ascii="Cambria" w:eastAsia="Cambria" w:hAnsi="Cambria" w:cs="Cambria"/>
          <w:sz w:val="20"/>
        </w:rPr>
        <w:t>in Associate degree programs who enter repayment in 2006</w:t>
      </w:r>
      <w:r w:rsidR="00213222">
        <w:rPr>
          <w:rFonts w:ascii="Cambria" w:eastAsia="Cambria" w:hAnsi="Cambria" w:cs="Cambria"/>
          <w:sz w:val="20"/>
        </w:rPr>
        <w:t xml:space="preserve"> </w:t>
      </w:r>
    </w:p>
    <w:p w:rsidR="00A81897" w:rsidRPr="00E431FD" w:rsidRDefault="00E431FD" w:rsidP="00E431FD">
      <w:pPr>
        <w:pStyle w:val="normal0"/>
        <w:numPr>
          <w:ilvl w:val="0"/>
          <w:numId w:val="3"/>
        </w:numPr>
        <w:spacing w:after="0" w:line="240" w:lineRule="auto"/>
        <w:ind w:left="360" w:hanging="360"/>
        <w:contextualSpacing/>
        <w:rPr>
          <w:rFonts w:asciiTheme="minorHAnsi" w:hAnsiTheme="minorHAnsi"/>
          <w:sz w:val="20"/>
        </w:rPr>
      </w:pPr>
      <w:r w:rsidRPr="00E431FD">
        <w:rPr>
          <w:rFonts w:asciiTheme="minorHAnsi" w:hAnsiTheme="minorHAnsi"/>
          <w:sz w:val="20"/>
        </w:rPr>
        <w:t xml:space="preserve">Apollo estimates that approximately 75 percent of </w:t>
      </w:r>
      <w:r>
        <w:rPr>
          <w:rFonts w:asciiTheme="minorHAnsi" w:hAnsiTheme="minorHAnsi"/>
          <w:sz w:val="20"/>
        </w:rPr>
        <w:t>its</w:t>
      </w:r>
      <w:r w:rsidRPr="00E431FD">
        <w:rPr>
          <w:rFonts w:asciiTheme="minorHAnsi" w:hAnsiTheme="minorHAnsi"/>
          <w:sz w:val="20"/>
        </w:rPr>
        <w:t xml:space="preserve"> undergraduate</w:t>
      </w:r>
      <w:r>
        <w:rPr>
          <w:rFonts w:asciiTheme="minorHAnsi" w:hAnsiTheme="minorHAnsi"/>
          <w:sz w:val="20"/>
        </w:rPr>
        <w:t>s</w:t>
      </w:r>
      <w:r w:rsidRPr="00E431FD">
        <w:rPr>
          <w:rFonts w:asciiTheme="minorHAnsi" w:hAnsiTheme="minorHAnsi"/>
          <w:sz w:val="20"/>
        </w:rPr>
        <w:t xml:space="preserve"> who default are online students</w:t>
      </w:r>
    </w:p>
    <w:p w:rsidR="003148E0" w:rsidRDefault="003148E0" w:rsidP="00E12B17">
      <w:pPr>
        <w:pStyle w:val="normal0"/>
        <w:numPr>
          <w:ilvl w:val="0"/>
          <w:numId w:val="3"/>
        </w:numPr>
        <w:spacing w:after="0" w:line="240" w:lineRule="auto"/>
        <w:ind w:left="360" w:hanging="360"/>
        <w:contextualSpacing/>
        <w:rPr>
          <w:rFonts w:ascii="Cambria" w:eastAsia="Cambria" w:hAnsi="Cambria" w:cs="Cambria"/>
          <w:sz w:val="20"/>
        </w:rPr>
      </w:pPr>
      <w:r>
        <w:rPr>
          <w:rFonts w:ascii="Cambria" w:eastAsia="Cambria" w:hAnsi="Cambria" w:cs="Cambria"/>
          <w:sz w:val="20"/>
        </w:rPr>
        <w:t xml:space="preserve">Contracts with </w:t>
      </w:r>
      <w:r w:rsidR="00D34743">
        <w:rPr>
          <w:rFonts w:ascii="Cambria" w:eastAsia="Cambria" w:hAnsi="Cambria" w:cs="Cambria"/>
          <w:sz w:val="20"/>
        </w:rPr>
        <w:t xml:space="preserve">General Revenue Corporation to manipulate default rate by shifting students at risk of default into forbearance, which is bad for students because interest on </w:t>
      </w:r>
      <w:r w:rsidR="0019093B">
        <w:rPr>
          <w:rFonts w:ascii="Cambria" w:eastAsia="Cambria" w:hAnsi="Cambria" w:cs="Cambria"/>
          <w:sz w:val="20"/>
        </w:rPr>
        <w:t xml:space="preserve">some </w:t>
      </w:r>
      <w:r w:rsidR="00D34743">
        <w:rPr>
          <w:rFonts w:ascii="Cambria" w:eastAsia="Cambria" w:hAnsi="Cambria" w:cs="Cambria"/>
          <w:sz w:val="20"/>
        </w:rPr>
        <w:t>loans continues to accrue</w:t>
      </w:r>
    </w:p>
    <w:p w:rsidR="00A20E6D" w:rsidRPr="00A20E6D" w:rsidRDefault="007C39D9" w:rsidP="00A20E6D">
      <w:pPr>
        <w:pStyle w:val="normal0"/>
        <w:numPr>
          <w:ilvl w:val="0"/>
          <w:numId w:val="3"/>
        </w:numPr>
        <w:spacing w:after="0" w:line="240" w:lineRule="auto"/>
        <w:ind w:left="360" w:hanging="360"/>
        <w:contextualSpacing/>
        <w:rPr>
          <w:rFonts w:ascii="Cambria" w:eastAsia="Cambria" w:hAnsi="Cambria" w:cs="Cambria"/>
          <w:sz w:val="20"/>
        </w:rPr>
      </w:pPr>
      <w:r>
        <w:rPr>
          <w:rFonts w:ascii="Cambria" w:eastAsia="Cambria" w:hAnsi="Cambria" w:cs="Cambria"/>
          <w:sz w:val="20"/>
        </w:rPr>
        <w:t>E</w:t>
      </w:r>
      <w:r w:rsidRPr="00A20E6D">
        <w:rPr>
          <w:rFonts w:ascii="Cambria" w:eastAsia="Cambria" w:hAnsi="Cambria" w:cs="Cambria"/>
          <w:sz w:val="20"/>
        </w:rPr>
        <w:t xml:space="preserve">mployed </w:t>
      </w:r>
      <w:r>
        <w:rPr>
          <w:rFonts w:ascii="Cambria" w:eastAsia="Cambria" w:hAnsi="Cambria" w:cs="Cambria"/>
          <w:sz w:val="20"/>
        </w:rPr>
        <w:t>1</w:t>
      </w:r>
      <w:r w:rsidRPr="00A20E6D">
        <w:rPr>
          <w:rFonts w:ascii="Cambria" w:eastAsia="Cambria" w:hAnsi="Cambria" w:cs="Cambria"/>
          <w:sz w:val="20"/>
        </w:rPr>
        <w:t xml:space="preserve"> recruiter for every 58 students</w:t>
      </w:r>
      <w:r>
        <w:rPr>
          <w:rFonts w:ascii="Cambria" w:eastAsia="Cambria" w:hAnsi="Cambria" w:cs="Cambria"/>
          <w:sz w:val="20"/>
        </w:rPr>
        <w:t xml:space="preserve"> but e</w:t>
      </w:r>
      <w:r w:rsidR="00A20E6D" w:rsidRPr="00A20E6D">
        <w:rPr>
          <w:rFonts w:ascii="Cambria" w:eastAsia="Cambria" w:hAnsi="Cambria" w:cs="Cambria"/>
          <w:sz w:val="20"/>
        </w:rPr>
        <w:t>ach student services staff re</w:t>
      </w:r>
      <w:r>
        <w:rPr>
          <w:rFonts w:ascii="Cambria" w:eastAsia="Cambria" w:hAnsi="Cambria" w:cs="Cambria"/>
          <w:sz w:val="20"/>
        </w:rPr>
        <w:t>sponsible for 126 students</w:t>
      </w:r>
    </w:p>
    <w:p w:rsidR="00057D30" w:rsidRDefault="00213222" w:rsidP="00E12B17">
      <w:pPr>
        <w:pStyle w:val="normal0"/>
        <w:numPr>
          <w:ilvl w:val="0"/>
          <w:numId w:val="3"/>
        </w:numPr>
        <w:spacing w:after="0" w:line="240" w:lineRule="auto"/>
        <w:ind w:left="360" w:hanging="360"/>
        <w:contextualSpacing/>
        <w:rPr>
          <w:rFonts w:ascii="Cambria" w:eastAsia="Cambria" w:hAnsi="Cambria" w:cs="Cambria"/>
          <w:sz w:val="20"/>
        </w:rPr>
      </w:pPr>
      <w:r>
        <w:rPr>
          <w:rFonts w:ascii="Cambria" w:eastAsia="Cambria" w:hAnsi="Cambria" w:cs="Cambria"/>
          <w:sz w:val="20"/>
        </w:rPr>
        <w:t xml:space="preserve">Employs </w:t>
      </w:r>
      <w:r w:rsidR="00A20E6D">
        <w:rPr>
          <w:rFonts w:ascii="Cambria" w:eastAsia="Cambria" w:hAnsi="Cambria" w:cs="Cambria"/>
          <w:sz w:val="20"/>
        </w:rPr>
        <w:t>no</w:t>
      </w:r>
      <w:r>
        <w:rPr>
          <w:rFonts w:ascii="Cambria" w:eastAsia="Cambria" w:hAnsi="Cambria" w:cs="Cambria"/>
          <w:sz w:val="20"/>
        </w:rPr>
        <w:t xml:space="preserve"> career services staff</w:t>
      </w:r>
      <w:r w:rsidR="00A20E6D">
        <w:rPr>
          <w:rFonts w:ascii="Cambria" w:eastAsia="Cambria" w:hAnsi="Cambria" w:cs="Cambria"/>
          <w:sz w:val="20"/>
        </w:rPr>
        <w:t xml:space="preserve">, maintaining </w:t>
      </w:r>
      <w:r>
        <w:rPr>
          <w:rFonts w:ascii="Cambria" w:eastAsia="Cambria" w:hAnsi="Cambria" w:cs="Cambria"/>
          <w:sz w:val="20"/>
        </w:rPr>
        <w:t xml:space="preserve">that </w:t>
      </w:r>
      <w:r w:rsidR="00A20E6D">
        <w:rPr>
          <w:rFonts w:ascii="Cambria" w:eastAsia="Cambria" w:hAnsi="Cambria" w:cs="Cambria"/>
          <w:sz w:val="20"/>
        </w:rPr>
        <w:t>its</w:t>
      </w:r>
      <w:r>
        <w:rPr>
          <w:rFonts w:ascii="Cambria" w:eastAsia="Cambria" w:hAnsi="Cambria" w:cs="Cambria"/>
          <w:sz w:val="20"/>
        </w:rPr>
        <w:t xml:space="preserve"> students are working adults </w:t>
      </w:r>
      <w:r w:rsidR="00A20E6D">
        <w:rPr>
          <w:rFonts w:ascii="Cambria" w:eastAsia="Cambria" w:hAnsi="Cambria" w:cs="Cambria"/>
          <w:sz w:val="20"/>
        </w:rPr>
        <w:t>and do</w:t>
      </w:r>
      <w:r>
        <w:rPr>
          <w:rFonts w:ascii="Cambria" w:eastAsia="Cambria" w:hAnsi="Cambria" w:cs="Cambria"/>
          <w:sz w:val="20"/>
        </w:rPr>
        <w:t xml:space="preserve"> not need career counseling or job placement services</w:t>
      </w:r>
      <w:r w:rsidR="00986C04">
        <w:rPr>
          <w:rFonts w:ascii="Cambria" w:eastAsia="Cambria" w:hAnsi="Cambria" w:cs="Cambria"/>
          <w:sz w:val="20"/>
        </w:rPr>
        <w:t>, but recently partnered with a company that provides such services</w:t>
      </w:r>
    </w:p>
    <w:p w:rsidR="00A81897" w:rsidRPr="00057D30" w:rsidRDefault="00057D30" w:rsidP="00057D30">
      <w:pPr>
        <w:pStyle w:val="normal0"/>
        <w:numPr>
          <w:ilvl w:val="0"/>
          <w:numId w:val="3"/>
        </w:numPr>
        <w:spacing w:after="0" w:line="240" w:lineRule="auto"/>
        <w:ind w:left="360" w:hanging="360"/>
        <w:contextualSpacing/>
        <w:rPr>
          <w:rFonts w:ascii="Cambria" w:eastAsia="Cambria" w:hAnsi="Cambria" w:cs="Cambria"/>
          <w:sz w:val="20"/>
        </w:rPr>
      </w:pPr>
      <w:r w:rsidRPr="00057D30">
        <w:rPr>
          <w:rFonts w:ascii="Cambria" w:eastAsia="Cambria" w:hAnsi="Cambria" w:cs="Cambria"/>
          <w:sz w:val="20"/>
        </w:rPr>
        <w:t xml:space="preserve">In late 2010, began requiring students with less than 24 credits to successfully complete a 3-week orientation course before actually beginning classes. Student </w:t>
      </w:r>
      <w:r>
        <w:rPr>
          <w:rFonts w:ascii="Cambria" w:eastAsia="Cambria" w:hAnsi="Cambria" w:cs="Cambria"/>
          <w:sz w:val="20"/>
        </w:rPr>
        <w:t xml:space="preserve">can withdraw </w:t>
      </w:r>
      <w:r w:rsidRPr="00057D30">
        <w:rPr>
          <w:rFonts w:ascii="Cambria" w:eastAsia="Cambria" w:hAnsi="Cambria" w:cs="Cambria"/>
          <w:sz w:val="20"/>
        </w:rPr>
        <w:t xml:space="preserve">before the end of orientation </w:t>
      </w:r>
      <w:r>
        <w:rPr>
          <w:rFonts w:ascii="Cambria" w:eastAsia="Cambria" w:hAnsi="Cambria" w:cs="Cambria"/>
          <w:sz w:val="20"/>
        </w:rPr>
        <w:t>with</w:t>
      </w:r>
      <w:r w:rsidRPr="00057D30">
        <w:rPr>
          <w:rFonts w:ascii="Cambria" w:eastAsia="Cambria" w:hAnsi="Cambria" w:cs="Cambria"/>
          <w:sz w:val="20"/>
        </w:rPr>
        <w:t xml:space="preserve"> no financial </w:t>
      </w:r>
      <w:r>
        <w:rPr>
          <w:rFonts w:ascii="Cambria" w:eastAsia="Cambria" w:hAnsi="Cambria" w:cs="Cambria"/>
          <w:sz w:val="20"/>
        </w:rPr>
        <w:t>o</w:t>
      </w:r>
      <w:r w:rsidRPr="00057D30">
        <w:rPr>
          <w:rFonts w:ascii="Cambria" w:eastAsia="Cambria" w:hAnsi="Cambria" w:cs="Cambria"/>
          <w:sz w:val="20"/>
        </w:rPr>
        <w:t>bligation</w:t>
      </w:r>
    </w:p>
    <w:p w:rsidR="00A81897" w:rsidRDefault="00A81897">
      <w:pPr>
        <w:pStyle w:val="normal0"/>
        <w:spacing w:after="0" w:line="240" w:lineRule="auto"/>
      </w:pPr>
    </w:p>
    <w:p w:rsidR="00E12B17" w:rsidRDefault="00E12B17" w:rsidP="00E12B17">
      <w:pPr>
        <w:pStyle w:val="normal0"/>
        <w:spacing w:after="0" w:line="240" w:lineRule="auto"/>
        <w:rPr>
          <w:rFonts w:asciiTheme="minorHAnsi" w:hAnsiTheme="minorHAnsi"/>
          <w:color w:val="auto"/>
          <w:sz w:val="28"/>
        </w:rPr>
      </w:pPr>
      <w:r>
        <w:rPr>
          <w:rFonts w:asciiTheme="minorHAnsi" w:hAnsiTheme="minorHAnsi"/>
          <w:b/>
          <w:color w:val="0000FF"/>
          <w:sz w:val="28"/>
        </w:rPr>
        <w:t>2015 Update</w:t>
      </w:r>
    </w:p>
    <w:p w:rsidR="00A3499D" w:rsidRDefault="00A3499D" w:rsidP="00E12B17">
      <w:pPr>
        <w:pStyle w:val="normal0"/>
        <w:spacing w:after="0" w:line="240" w:lineRule="auto"/>
        <w:rPr>
          <w:rFonts w:asciiTheme="minorHAnsi" w:hAnsiTheme="minorHAnsi"/>
          <w:color w:val="auto"/>
          <w:sz w:val="20"/>
        </w:rPr>
      </w:pPr>
    </w:p>
    <w:p w:rsidR="00A3499D" w:rsidRPr="003A53C1" w:rsidRDefault="00A3499D" w:rsidP="00A3499D">
      <w:pPr>
        <w:pStyle w:val="normal0"/>
        <w:numPr>
          <w:ilvl w:val="0"/>
          <w:numId w:val="5"/>
        </w:numPr>
        <w:spacing w:after="0" w:line="240" w:lineRule="auto"/>
      </w:pPr>
      <w:r>
        <w:rPr>
          <w:rFonts w:asciiTheme="minorHAnsi" w:eastAsia="Cambria" w:hAnsiTheme="minorHAnsi" w:cs="Cambria"/>
          <w:sz w:val="20"/>
        </w:rPr>
        <w:t>Enrollment and earnings have dropped significantly—enrollment dropped from 471,000 in mid 2010 to 227,400 in late 2014 and revenue declined from $4.9 billion in 2010 to an estimated $2.8 billion for 2015</w:t>
      </w:r>
    </w:p>
    <w:p w:rsidR="00591ADE" w:rsidRPr="00591ADE" w:rsidRDefault="00591ADE" w:rsidP="00591ADE">
      <w:pPr>
        <w:pStyle w:val="normal0"/>
        <w:numPr>
          <w:ilvl w:val="0"/>
          <w:numId w:val="5"/>
        </w:numPr>
        <w:spacing w:after="0" w:line="240" w:lineRule="auto"/>
        <w:rPr>
          <w:rFonts w:asciiTheme="minorHAnsi" w:eastAsia="Cambria" w:hAnsiTheme="minorHAnsi" w:cs="Cambria"/>
          <w:sz w:val="20"/>
        </w:rPr>
      </w:pPr>
      <w:r>
        <w:rPr>
          <w:rFonts w:asciiTheme="minorHAnsi" w:hAnsiTheme="minorHAnsi"/>
          <w:color w:val="auto"/>
          <w:sz w:val="20"/>
        </w:rPr>
        <w:t xml:space="preserve">In March 2014, the Department of Education Inspector General subpoenaed records relating </w:t>
      </w:r>
      <w:r w:rsidRPr="00591ADE">
        <w:rPr>
          <w:rFonts w:asciiTheme="minorHAnsi" w:eastAsia="Cambria" w:hAnsiTheme="minorHAnsi" w:cs="Cambria"/>
          <w:sz w:val="20"/>
        </w:rPr>
        <w:t>to marketing, recruitment, enrollment, financial aid processing, fraud prevention, student retention, personnel training, attendance, academic grading and other matters</w:t>
      </w:r>
    </w:p>
    <w:p w:rsidR="0084560F" w:rsidRDefault="0019093B" w:rsidP="00333CB5">
      <w:pPr>
        <w:pStyle w:val="NormalWeb"/>
        <w:numPr>
          <w:ilvl w:val="0"/>
          <w:numId w:val="5"/>
        </w:numPr>
        <w:spacing w:before="2" w:after="2"/>
        <w:rPr>
          <w:rFonts w:asciiTheme="minorHAnsi" w:eastAsia="Cambria" w:hAnsiTheme="minorHAnsi" w:cs="Cambria"/>
          <w:color w:val="000000"/>
        </w:rPr>
      </w:pPr>
      <w:r>
        <w:rPr>
          <w:rFonts w:asciiTheme="minorHAnsi" w:eastAsia="Cambria" w:hAnsiTheme="minorHAnsi" w:cs="Cambria"/>
          <w:color w:val="000000"/>
        </w:rPr>
        <w:t>It r</w:t>
      </w:r>
      <w:r w:rsidR="00333CB5" w:rsidRPr="00333CB5">
        <w:rPr>
          <w:rFonts w:asciiTheme="minorHAnsi" w:eastAsia="Cambria" w:hAnsiTheme="minorHAnsi" w:cs="Cambria"/>
          <w:color w:val="000000"/>
        </w:rPr>
        <w:t xml:space="preserve">eceived $272 million in </w:t>
      </w:r>
      <w:r>
        <w:rPr>
          <w:rFonts w:asciiTheme="minorHAnsi" w:eastAsia="Cambria" w:hAnsiTheme="minorHAnsi" w:cs="Cambria"/>
          <w:color w:val="000000"/>
        </w:rPr>
        <w:t xml:space="preserve">revenue from </w:t>
      </w:r>
      <w:r w:rsidR="00333CB5" w:rsidRPr="00333CB5">
        <w:rPr>
          <w:rFonts w:asciiTheme="minorHAnsi" w:eastAsia="Cambria" w:hAnsiTheme="minorHAnsi" w:cs="Cambria"/>
          <w:color w:val="000000"/>
        </w:rPr>
        <w:t xml:space="preserve">Post-9/11 benefits in 2012-13, more than triple </w:t>
      </w:r>
      <w:r>
        <w:rPr>
          <w:rFonts w:asciiTheme="minorHAnsi" w:eastAsia="Cambria" w:hAnsiTheme="minorHAnsi" w:cs="Cambria"/>
          <w:color w:val="000000"/>
        </w:rPr>
        <w:t>the amount received in 2009-10</w:t>
      </w:r>
    </w:p>
    <w:p w:rsidR="000C65EA" w:rsidRDefault="0084560F" w:rsidP="00D9378B">
      <w:pPr>
        <w:pStyle w:val="ListParagraph"/>
        <w:numPr>
          <w:ilvl w:val="0"/>
          <w:numId w:val="5"/>
        </w:numPr>
        <w:shd w:val="clear" w:color="auto" w:fill="FFFFFF"/>
        <w:spacing w:before="2" w:after="2" w:line="240" w:lineRule="auto"/>
        <w:rPr>
          <w:rFonts w:ascii="Cambria" w:hAnsi="Cambria"/>
          <w:color w:val="auto"/>
          <w:sz w:val="20"/>
        </w:rPr>
      </w:pPr>
      <w:r w:rsidRPr="0054361C">
        <w:rPr>
          <w:rFonts w:ascii="Cambria" w:hAnsi="Cambria"/>
          <w:color w:val="auto"/>
          <w:sz w:val="20"/>
        </w:rPr>
        <w:t xml:space="preserve">According to a July 2014 Senate HELP Committee report: (1) </w:t>
      </w:r>
      <w:r w:rsidR="00D9378B">
        <w:rPr>
          <w:rFonts w:ascii="Cambria" w:hAnsi="Cambria"/>
          <w:color w:val="auto"/>
          <w:sz w:val="20"/>
        </w:rPr>
        <w:t>2</w:t>
      </w:r>
      <w:r w:rsidRPr="0054361C">
        <w:rPr>
          <w:rFonts w:ascii="Cambria" w:hAnsi="Cambria"/>
          <w:color w:val="auto"/>
          <w:sz w:val="20"/>
        </w:rPr>
        <w:t xml:space="preserve">0% of programs </w:t>
      </w:r>
      <w:r w:rsidR="00D9378B">
        <w:rPr>
          <w:rFonts w:ascii="Cambria" w:hAnsi="Cambria"/>
          <w:color w:val="auto"/>
          <w:sz w:val="20"/>
        </w:rPr>
        <w:t>of its</w:t>
      </w:r>
      <w:r w:rsidRPr="0054361C">
        <w:rPr>
          <w:rFonts w:ascii="Cambria" w:hAnsi="Cambria"/>
          <w:color w:val="auto"/>
          <w:sz w:val="20"/>
        </w:rPr>
        <w:t xml:space="preserve"> campuses would fail or were at risk of failing the Department of Education’s proposed Gainful Employment test</w:t>
      </w:r>
      <w:r>
        <w:rPr>
          <w:rFonts w:ascii="Cambria" w:hAnsi="Cambria"/>
          <w:color w:val="auto"/>
          <w:sz w:val="20"/>
        </w:rPr>
        <w:t xml:space="preserve">; and (2) </w:t>
      </w:r>
      <w:r w:rsidR="0019093B">
        <w:rPr>
          <w:rFonts w:ascii="Cambria" w:hAnsi="Cambria"/>
          <w:color w:val="auto"/>
          <w:sz w:val="20"/>
        </w:rPr>
        <w:t xml:space="preserve">received $751 million in revenue from veterans using their Post-9/11 GI Bill benefits </w:t>
      </w:r>
      <w:r w:rsidR="00D9378B">
        <w:rPr>
          <w:rFonts w:ascii="Cambria" w:hAnsi="Cambria"/>
          <w:color w:val="auto"/>
          <w:sz w:val="20"/>
        </w:rPr>
        <w:t>f</w:t>
      </w:r>
      <w:r w:rsidRPr="0054361C">
        <w:rPr>
          <w:rFonts w:ascii="Cambria" w:hAnsi="Cambria"/>
          <w:color w:val="auto"/>
          <w:sz w:val="20"/>
        </w:rPr>
        <w:t>rom 2009 through 2013</w:t>
      </w:r>
      <w:r w:rsidR="0019093B">
        <w:rPr>
          <w:rFonts w:ascii="Cambria" w:hAnsi="Cambria"/>
          <w:color w:val="auto"/>
          <w:sz w:val="20"/>
        </w:rPr>
        <w:t xml:space="preserve">, </w:t>
      </w:r>
      <w:r w:rsidR="002A3931">
        <w:rPr>
          <w:rFonts w:ascii="Cambria" w:hAnsi="Cambria"/>
          <w:color w:val="auto"/>
          <w:sz w:val="20"/>
        </w:rPr>
        <w:t xml:space="preserve">the most received by any for-profit school and </w:t>
      </w:r>
      <w:r w:rsidR="0019093B">
        <w:rPr>
          <w:rFonts w:ascii="Cambria" w:hAnsi="Cambria"/>
          <w:color w:val="auto"/>
          <w:sz w:val="20"/>
        </w:rPr>
        <w:t xml:space="preserve">almost a quarter of the $3.2 billion received by </w:t>
      </w:r>
      <w:r w:rsidR="002A3931">
        <w:rPr>
          <w:rFonts w:ascii="Cambria" w:hAnsi="Cambria"/>
          <w:color w:val="auto"/>
          <w:sz w:val="20"/>
        </w:rPr>
        <w:t xml:space="preserve">the top 10 schools, </w:t>
      </w:r>
      <w:r w:rsidR="00636518">
        <w:rPr>
          <w:rFonts w:ascii="Cambria" w:hAnsi="Cambria"/>
          <w:color w:val="auto"/>
          <w:sz w:val="20"/>
        </w:rPr>
        <w:t xml:space="preserve">8 of </w:t>
      </w:r>
      <w:r w:rsidR="000C65EA">
        <w:rPr>
          <w:rFonts w:ascii="Cambria" w:hAnsi="Cambria"/>
          <w:color w:val="auto"/>
          <w:sz w:val="20"/>
        </w:rPr>
        <w:t xml:space="preserve">which were </w:t>
      </w:r>
      <w:r w:rsidR="002A3931">
        <w:rPr>
          <w:rFonts w:ascii="Cambria" w:hAnsi="Cambria"/>
          <w:color w:val="auto"/>
          <w:sz w:val="20"/>
        </w:rPr>
        <w:t>for-</w:t>
      </w:r>
      <w:r w:rsidRPr="0054361C">
        <w:rPr>
          <w:rFonts w:ascii="Cambria" w:hAnsi="Cambria"/>
          <w:color w:val="auto"/>
          <w:sz w:val="20"/>
        </w:rPr>
        <w:t xml:space="preserve">profit </w:t>
      </w:r>
      <w:r w:rsidR="002A3931">
        <w:rPr>
          <w:rFonts w:ascii="Cambria" w:hAnsi="Cambria"/>
          <w:color w:val="auto"/>
          <w:sz w:val="20"/>
        </w:rPr>
        <w:t>institutions</w:t>
      </w:r>
    </w:p>
    <w:p w:rsidR="00542E4E" w:rsidRPr="00542E4E" w:rsidRDefault="000C65EA" w:rsidP="00153DEC">
      <w:pPr>
        <w:pStyle w:val="ListParagraph"/>
        <w:numPr>
          <w:ilvl w:val="0"/>
          <w:numId w:val="5"/>
        </w:numPr>
        <w:shd w:val="clear" w:color="auto" w:fill="FFFFFF"/>
        <w:spacing w:before="2" w:after="0" w:line="240" w:lineRule="auto"/>
        <w:rPr>
          <w:rFonts w:asciiTheme="minorHAnsi" w:eastAsia="Cambria" w:hAnsiTheme="minorHAnsi" w:cs="Cambria"/>
          <w:sz w:val="20"/>
        </w:rPr>
      </w:pPr>
      <w:r w:rsidRPr="00305264">
        <w:rPr>
          <w:rFonts w:ascii="Cambria" w:hAnsi="Cambria"/>
        </w:rPr>
        <w:t xml:space="preserve">In October 2015, the Department of Defense announced that it was suspending the University of Phoenix from enrolling </w:t>
      </w:r>
      <w:proofErr w:type="spellStart"/>
      <w:r w:rsidRPr="00305264">
        <w:rPr>
          <w:rFonts w:ascii="Cambria" w:hAnsi="Cambria"/>
        </w:rPr>
        <w:t>servicemembers</w:t>
      </w:r>
      <w:proofErr w:type="spellEnd"/>
      <w:r w:rsidRPr="00305264">
        <w:rPr>
          <w:rFonts w:ascii="Cambria" w:hAnsi="Cambria"/>
        </w:rPr>
        <w:t xml:space="preserve"> because the school had violated its Memorandum of Understanding governing participation in the Tuition Assistance Program. DOD concluded that the  “frequency and scope” of the University of Phoenix’s violations were “disconcerting,” including “transgression of Departmental policies regarding use of its official seals or other trademark insignia and failure to go through the responsible education advisor for each business related activity requiring access to the DOD installations. The Department’s letter to Phoenix also cited ongoing investigations of Phoenix by the Federal Trade Commission and the California Attorney General that could substantiate additional MOU violations.  DOD’s action followed the June 2015 publication of an investigation by the Center for Investigative Reporting. The report documented surreptitious Phoenix recruiting activities on military bases, and provided evidence that the school had violated not only its MOU with DOD but also the Department of Education’s incentive compensation regulations. </w:t>
      </w:r>
      <w:hyperlink r:id="rId5" w:history="1">
        <w:r w:rsidRPr="00305264">
          <w:rPr>
            <w:rFonts w:ascii="Cambria" w:hAnsi="Cambria"/>
          </w:rPr>
          <w:t>http://chronic</w:t>
        </w:r>
        <w:r w:rsidRPr="00305264">
          <w:rPr>
            <w:rFonts w:ascii="Cambria" w:hAnsi="Cambria"/>
          </w:rPr>
          <w:t>l</w:t>
        </w:r>
        <w:r w:rsidRPr="00305264">
          <w:rPr>
            <w:rFonts w:ascii="Cambria" w:hAnsi="Cambria"/>
          </w:rPr>
          <w:t>e.com/blogs/ticker/files/2015/10/Suspension-Letter-to-University-of-Phoenix_7Oct20151.pdf</w:t>
        </w:r>
      </w:hyperlink>
      <w:r w:rsidR="00305264" w:rsidRPr="00305264">
        <w:rPr>
          <w:rFonts w:ascii="Cambria" w:hAnsi="Cambria"/>
        </w:rPr>
        <w:t xml:space="preserve"> </w:t>
      </w:r>
    </w:p>
    <w:p w:rsidR="00542E4E" w:rsidRPr="00542E4E" w:rsidRDefault="00542E4E" w:rsidP="00542E4E">
      <w:pPr>
        <w:pStyle w:val="ListParagraph"/>
        <w:widowControl w:val="0"/>
        <w:numPr>
          <w:ilvl w:val="0"/>
          <w:numId w:val="5"/>
        </w:numPr>
        <w:autoSpaceDE w:val="0"/>
        <w:autoSpaceDN w:val="0"/>
        <w:adjustRightInd w:val="0"/>
        <w:spacing w:after="0" w:line="240" w:lineRule="auto"/>
        <w:rPr>
          <w:rFonts w:ascii="Cambria" w:hAnsi="Cambria"/>
        </w:rPr>
      </w:pPr>
      <w:r w:rsidRPr="00542E4E">
        <w:rPr>
          <w:rFonts w:ascii="Cambria" w:hAnsi="Cambria"/>
        </w:rPr>
        <w:t xml:space="preserve">In January 2016, DOD lifted its suspension of the University of Phoenix based on </w:t>
      </w:r>
      <w:r>
        <w:rPr>
          <w:rFonts w:ascii="Cambria" w:hAnsi="Cambria"/>
        </w:rPr>
        <w:t xml:space="preserve">an </w:t>
      </w:r>
      <w:r w:rsidRPr="00542E4E">
        <w:rPr>
          <w:rFonts w:ascii="Cambria" w:hAnsi="Cambria"/>
        </w:rPr>
        <w:t>internal review</w:t>
      </w:r>
      <w:r>
        <w:rPr>
          <w:rFonts w:ascii="Cambria" w:hAnsi="Cambria"/>
        </w:rPr>
        <w:t xml:space="preserve"> and</w:t>
      </w:r>
      <w:r w:rsidRPr="00542E4E">
        <w:rPr>
          <w:rFonts w:ascii="Cambria" w:hAnsi="Cambria"/>
        </w:rPr>
        <w:t xml:space="preserve"> the university's response to the department's concerns</w:t>
      </w:r>
      <w:r>
        <w:rPr>
          <w:rFonts w:ascii="Cambria" w:hAnsi="Cambria"/>
        </w:rPr>
        <w:t xml:space="preserve">. However, the school will face a heightened compliance review for a </w:t>
      </w:r>
      <w:r w:rsidR="008B0102">
        <w:rPr>
          <w:rFonts w:ascii="Cambria" w:hAnsi="Cambria"/>
        </w:rPr>
        <w:t>period of one year following the removal of the probationary status and an enhanced compliance review in 2017</w:t>
      </w:r>
      <w:r>
        <w:rPr>
          <w:rFonts w:ascii="Cambria" w:hAnsi="Cambria"/>
        </w:rPr>
        <w:t>.</w:t>
      </w:r>
    </w:p>
    <w:p w:rsidR="00A81897" w:rsidRPr="00542E4E" w:rsidRDefault="00A81897" w:rsidP="00542E4E">
      <w:pPr>
        <w:pStyle w:val="ListParagraph"/>
        <w:shd w:val="clear" w:color="auto" w:fill="FFFFFF"/>
        <w:spacing w:before="2" w:after="0" w:line="240" w:lineRule="auto"/>
        <w:ind w:left="360"/>
        <w:rPr>
          <w:rFonts w:ascii="Cambria" w:hAnsi="Cambria"/>
        </w:rPr>
      </w:pPr>
    </w:p>
    <w:sectPr w:rsidR="00A81897" w:rsidRPr="00542E4E" w:rsidSect="00FA73C2">
      <w:headerReference w:type="default" r:id="rId6"/>
      <w:footerReference w:type="even" r:id="rId7"/>
      <w:foot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EC" w:rsidRPr="00CB7B2F" w:rsidRDefault="00153DEC" w:rsidP="00CB7B2F">
    <w:pPr>
      <w:pStyle w:val="normal0"/>
      <w:spacing w:after="0" w:line="240" w:lineRule="auto"/>
      <w:rPr>
        <w:rFonts w:asciiTheme="minorHAnsi" w:hAnsiTheme="minorHAnsi"/>
        <w:sz w:val="18"/>
      </w:rPr>
    </w:pPr>
    <w:r w:rsidRPr="00CB7B2F">
      <w:rPr>
        <w:rFonts w:asciiTheme="minorHAnsi" w:hAnsiTheme="minorHAnsi"/>
        <w:sz w:val="18"/>
      </w:rPr>
      <w:t xml:space="preserve">Summary of findings a report by the Senate Health, Education, Labor and Pensions (HELP) Committee: </w:t>
    </w:r>
    <w:r w:rsidRPr="00CB7B2F">
      <w:rPr>
        <w:rFonts w:asciiTheme="minorHAnsi" w:hAnsiTheme="minorHAnsi"/>
        <w:i/>
        <w:sz w:val="18"/>
      </w:rPr>
      <w:t xml:space="preserve">For-Profit Education: The Failure to Safeguard the Federal Investment and Ensure Student Success </w:t>
    </w:r>
    <w:r w:rsidRPr="00CB7B2F">
      <w:rPr>
        <w:rFonts w:asciiTheme="minorHAnsi" w:hAnsiTheme="minorHAnsi"/>
        <w:sz w:val="18"/>
      </w:rPr>
      <w:t>(July 30, 2012).</w:t>
    </w:r>
    <w:r w:rsidRPr="00CB7B2F">
      <w:rPr>
        <w:rFonts w:asciiTheme="minorHAnsi" w:hAnsiTheme="minorHAnsi"/>
        <w:i/>
        <w:sz w:val="18"/>
      </w:rPr>
      <w:t xml:space="preserve"> </w:t>
    </w:r>
    <w:r w:rsidRPr="00CB7B2F">
      <w:rPr>
        <w:rFonts w:asciiTheme="minorHAnsi" w:hAnsiTheme="minorHAnsi"/>
        <w:sz w:val="18"/>
      </w:rPr>
      <w:t xml:space="preserve">Find the full chapter on Apollo at: </w:t>
    </w:r>
    <w:hyperlink r:id="rId1">
      <w:r w:rsidRPr="00CB7B2F">
        <w:rPr>
          <w:rFonts w:asciiTheme="minorHAnsi" w:hAnsiTheme="minorHAnsi"/>
          <w:color w:val="0000FF"/>
          <w:sz w:val="18"/>
          <w:u w:val="single"/>
        </w:rPr>
        <w:t>http://www.help.senate.gov/imo/media/for_profit_report/PartII/Apollo.pdf</w:t>
      </w:r>
    </w:hyperlink>
    <w:r w:rsidRPr="00CB7B2F">
      <w:rPr>
        <w:rFonts w:asciiTheme="minorHAnsi" w:hAnsiTheme="minorHAnsi"/>
        <w:sz w:val="18"/>
      </w:rPr>
      <w:t xml:space="preserve"> </w:t>
    </w:r>
  </w:p>
  <w:p w:rsidR="00153DEC" w:rsidRDefault="00153D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EC" w:rsidRDefault="00F04A6D">
    <w:pPr>
      <w:pStyle w:val="Footer"/>
    </w:pPr>
    <w:r>
      <w:rPr>
        <w:noProof/>
        <w:lang w:eastAsia="zh-TW"/>
      </w:rPr>
      <w:pict>
        <v:shapetype id="_x0000_t202" coordsize="21600,21600" o:spt="202" path="m0,0l0,21600,21600,21600,21600,0xe">
          <v:stroke joinstyle="miter"/>
          <v:path gradientshapeok="t" o:connecttype="rect"/>
        </v:shapetype>
        <v:shape id="_x0000_s2050" type="#_x0000_t202" style="position:absolute;margin-left:554.3pt;margin-top:730pt;width:37.45pt;height:23.5pt;z-index:251661312;mso-position-horizontal-relative:page;mso-position-vertical-relative:page" filled="f" stroked="f">
          <v:textbox>
            <w:txbxContent>
              <w:p w:rsidR="00153DEC" w:rsidRPr="007261F2" w:rsidRDefault="00F04A6D" w:rsidP="006B5CE0">
                <w:pPr>
                  <w:rPr>
                    <w:color w:val="FFFFFF" w:themeColor="background1"/>
                    <w:szCs w:val="24"/>
                  </w:rPr>
                </w:pPr>
                <w:fldSimple w:instr=" PAGE   \* MERGEFORMAT ">
                  <w:r w:rsidR="008B0102" w:rsidRPr="008B0102">
                    <w:rPr>
                      <w:b/>
                      <w:noProof/>
                      <w:color w:val="FFFFFF" w:themeColor="background1"/>
                      <w:sz w:val="24"/>
                      <w:szCs w:val="24"/>
                    </w:rPr>
                    <w:t>3</w:t>
                  </w:r>
                </w:fldSimple>
              </w:p>
            </w:txbxContent>
          </v:textbox>
          <w10:wrap anchorx="page" anchory="page"/>
        </v:shape>
      </w:pict>
    </w:r>
  </w:p>
  <w:p w:rsidR="00153DEC" w:rsidRDefault="00153DEC">
    <w:pPr>
      <w:pStyle w:val="Footer"/>
    </w:pPr>
  </w:p>
  <w:p w:rsidR="00153DEC" w:rsidRDefault="00153DEC">
    <w:pPr>
      <w:pStyle w:val="Footer"/>
    </w:pPr>
  </w:p>
  <w:p w:rsidR="00153DEC" w:rsidRDefault="00153DEC">
    <w:pPr>
      <w:pStyle w:val="normal0"/>
      <w:spacing w:after="0" w:line="240" w:lineRule="auto"/>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DEC" w:rsidRPr="00E12B17" w:rsidRDefault="00153DEC" w:rsidP="00E12B17">
    <w:pPr>
      <w:pStyle w:val="normal0"/>
      <w:tabs>
        <w:tab w:val="right" w:pos="9360"/>
      </w:tabs>
      <w:spacing w:after="0" w:line="240" w:lineRule="auto"/>
      <w:jc w:val="center"/>
      <w:rPr>
        <w:rFonts w:asciiTheme="minorHAnsi" w:hAnsiTheme="minorHAnsi"/>
        <w:b/>
        <w:color w:val="0000FF"/>
        <w:sz w:val="28"/>
      </w:rPr>
    </w:pPr>
    <w:r w:rsidRPr="00E12B17">
      <w:rPr>
        <w:rFonts w:asciiTheme="minorHAnsi" w:hAnsiTheme="minorHAnsi"/>
        <w:b/>
        <w:color w:val="0000FF"/>
        <w:sz w:val="28"/>
      </w:rPr>
      <w:t>Apollo Group, Inc.</w:t>
    </w:r>
  </w:p>
  <w:p w:rsidR="00153DEC" w:rsidRPr="00E12B17" w:rsidRDefault="00153DEC" w:rsidP="00E12B17">
    <w:pPr>
      <w:pStyle w:val="normal0"/>
      <w:tabs>
        <w:tab w:val="right" w:pos="9360"/>
      </w:tabs>
      <w:spacing w:after="0" w:line="240" w:lineRule="auto"/>
      <w:jc w:val="center"/>
      <w:rPr>
        <w:rFonts w:asciiTheme="minorHAnsi" w:hAnsiTheme="minorHAnsi"/>
      </w:rPr>
    </w:pPr>
    <w:r w:rsidRPr="00E12B17">
      <w:rPr>
        <w:rFonts w:asciiTheme="minorHAnsi" w:hAnsiTheme="minorHAnsi"/>
        <w:b/>
        <w:sz w:val="24"/>
      </w:rPr>
      <w:t>Summary</w:t>
    </w:r>
    <w:r>
      <w:rPr>
        <w:rFonts w:asciiTheme="minorHAnsi" w:hAnsiTheme="minorHAnsi"/>
        <w:b/>
        <w:sz w:val="24"/>
      </w:rPr>
      <w:t>: 2012</w:t>
    </w:r>
    <w:r w:rsidRPr="00E12B17">
      <w:rPr>
        <w:rFonts w:asciiTheme="minorHAnsi" w:hAnsiTheme="minorHAnsi"/>
        <w:b/>
        <w:sz w:val="24"/>
      </w:rPr>
      <w:t xml:space="preserve"> U.S. Senate Committee Findings </w:t>
    </w:r>
    <w:r>
      <w:rPr>
        <w:rFonts w:asciiTheme="minorHAnsi" w:hAnsiTheme="minorHAnsi"/>
        <w:b/>
        <w:sz w:val="24"/>
      </w:rPr>
      <w:t>+ 2015 Update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7CE"/>
    <w:multiLevelType w:val="multilevel"/>
    <w:tmpl w:val="2C0290EA"/>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1980" w:hanging="1979"/>
      </w:pPr>
      <w:rPr>
        <w:rFonts w:ascii="Arial" w:eastAsia="Arial" w:hAnsi="Arial" w:cs="Arial"/>
        <w:vertAlign w:val="baseline"/>
      </w:rPr>
    </w:lvl>
    <w:lvl w:ilvl="2">
      <w:start w:val="1"/>
      <w:numFmt w:val="bullet"/>
      <w:lvlText w:val="▪"/>
      <w:lvlJc w:val="left"/>
      <w:pPr>
        <w:ind w:left="-1260" w:hanging="1259"/>
      </w:pPr>
      <w:rPr>
        <w:rFonts w:ascii="Arial" w:eastAsia="Arial" w:hAnsi="Arial" w:cs="Arial"/>
        <w:vertAlign w:val="baseline"/>
      </w:rPr>
    </w:lvl>
    <w:lvl w:ilvl="3">
      <w:start w:val="1"/>
      <w:numFmt w:val="bullet"/>
      <w:lvlText w:val="●"/>
      <w:lvlJc w:val="left"/>
      <w:pPr>
        <w:ind w:left="-540" w:hanging="539"/>
      </w:pPr>
      <w:rPr>
        <w:rFonts w:ascii="Arial" w:eastAsia="Arial" w:hAnsi="Arial" w:cs="Arial"/>
        <w:vertAlign w:val="baseline"/>
      </w:rPr>
    </w:lvl>
    <w:lvl w:ilvl="4">
      <w:start w:val="1"/>
      <w:numFmt w:val="bullet"/>
      <w:lvlText w:val="o"/>
      <w:lvlJc w:val="left"/>
      <w:pPr>
        <w:ind w:left="179" w:firstLine="180"/>
      </w:pPr>
      <w:rPr>
        <w:rFonts w:ascii="Arial" w:eastAsia="Arial" w:hAnsi="Arial" w:cs="Arial"/>
        <w:vertAlign w:val="baseline"/>
      </w:rPr>
    </w:lvl>
    <w:lvl w:ilvl="5">
      <w:start w:val="1"/>
      <w:numFmt w:val="bullet"/>
      <w:lvlText w:val="▪"/>
      <w:lvlJc w:val="left"/>
      <w:pPr>
        <w:ind w:left="899" w:firstLine="900"/>
      </w:pPr>
      <w:rPr>
        <w:rFonts w:ascii="Arial" w:eastAsia="Arial" w:hAnsi="Arial" w:cs="Arial"/>
        <w:vertAlign w:val="baseline"/>
      </w:rPr>
    </w:lvl>
    <w:lvl w:ilvl="6">
      <w:start w:val="1"/>
      <w:numFmt w:val="bullet"/>
      <w:lvlText w:val="●"/>
      <w:lvlJc w:val="left"/>
      <w:pPr>
        <w:ind w:left="1619" w:firstLine="1620"/>
      </w:pPr>
      <w:rPr>
        <w:rFonts w:ascii="Arial" w:eastAsia="Arial" w:hAnsi="Arial" w:cs="Arial"/>
        <w:vertAlign w:val="baseline"/>
      </w:rPr>
    </w:lvl>
    <w:lvl w:ilvl="7">
      <w:start w:val="1"/>
      <w:numFmt w:val="bullet"/>
      <w:lvlText w:val="o"/>
      <w:lvlJc w:val="left"/>
      <w:pPr>
        <w:ind w:left="2339" w:firstLine="2340"/>
      </w:pPr>
      <w:rPr>
        <w:rFonts w:ascii="Arial" w:eastAsia="Arial" w:hAnsi="Arial" w:cs="Arial"/>
        <w:vertAlign w:val="baseline"/>
      </w:rPr>
    </w:lvl>
    <w:lvl w:ilvl="8">
      <w:start w:val="1"/>
      <w:numFmt w:val="bullet"/>
      <w:lvlText w:val="▪"/>
      <w:lvlJc w:val="left"/>
      <w:pPr>
        <w:ind w:left="3059" w:firstLine="3060"/>
      </w:pPr>
      <w:rPr>
        <w:rFonts w:ascii="Arial" w:eastAsia="Arial" w:hAnsi="Arial" w:cs="Arial"/>
        <w:vertAlign w:val="baseline"/>
      </w:rPr>
    </w:lvl>
  </w:abstractNum>
  <w:abstractNum w:abstractNumId="1">
    <w:nsid w:val="0C2C2013"/>
    <w:multiLevelType w:val="multilevel"/>
    <w:tmpl w:val="6C8CC558"/>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1980" w:hanging="1979"/>
      </w:pPr>
      <w:rPr>
        <w:rFonts w:ascii="Arial" w:eastAsia="Arial" w:hAnsi="Arial" w:cs="Arial"/>
        <w:vertAlign w:val="baseline"/>
      </w:rPr>
    </w:lvl>
    <w:lvl w:ilvl="2">
      <w:start w:val="1"/>
      <w:numFmt w:val="bullet"/>
      <w:lvlText w:val="▪"/>
      <w:lvlJc w:val="left"/>
      <w:pPr>
        <w:ind w:left="-1260" w:hanging="1259"/>
      </w:pPr>
      <w:rPr>
        <w:rFonts w:ascii="Arial" w:eastAsia="Arial" w:hAnsi="Arial" w:cs="Arial"/>
        <w:vertAlign w:val="baseline"/>
      </w:rPr>
    </w:lvl>
    <w:lvl w:ilvl="3">
      <w:start w:val="1"/>
      <w:numFmt w:val="bullet"/>
      <w:lvlText w:val="●"/>
      <w:lvlJc w:val="left"/>
      <w:pPr>
        <w:ind w:left="-540" w:hanging="539"/>
      </w:pPr>
      <w:rPr>
        <w:rFonts w:ascii="Arial" w:eastAsia="Arial" w:hAnsi="Arial" w:cs="Arial"/>
        <w:vertAlign w:val="baseline"/>
      </w:rPr>
    </w:lvl>
    <w:lvl w:ilvl="4">
      <w:start w:val="1"/>
      <w:numFmt w:val="bullet"/>
      <w:lvlText w:val="o"/>
      <w:lvlJc w:val="left"/>
      <w:pPr>
        <w:ind w:left="179" w:firstLine="180"/>
      </w:pPr>
      <w:rPr>
        <w:rFonts w:ascii="Arial" w:eastAsia="Arial" w:hAnsi="Arial" w:cs="Arial"/>
        <w:vertAlign w:val="baseline"/>
      </w:rPr>
    </w:lvl>
    <w:lvl w:ilvl="5">
      <w:start w:val="1"/>
      <w:numFmt w:val="bullet"/>
      <w:lvlText w:val="▪"/>
      <w:lvlJc w:val="left"/>
      <w:pPr>
        <w:ind w:left="899" w:firstLine="900"/>
      </w:pPr>
      <w:rPr>
        <w:rFonts w:ascii="Arial" w:eastAsia="Arial" w:hAnsi="Arial" w:cs="Arial"/>
        <w:vertAlign w:val="baseline"/>
      </w:rPr>
    </w:lvl>
    <w:lvl w:ilvl="6">
      <w:start w:val="1"/>
      <w:numFmt w:val="bullet"/>
      <w:lvlText w:val="●"/>
      <w:lvlJc w:val="left"/>
      <w:pPr>
        <w:ind w:left="1619" w:firstLine="1620"/>
      </w:pPr>
      <w:rPr>
        <w:rFonts w:ascii="Arial" w:eastAsia="Arial" w:hAnsi="Arial" w:cs="Arial"/>
        <w:vertAlign w:val="baseline"/>
      </w:rPr>
    </w:lvl>
    <w:lvl w:ilvl="7">
      <w:start w:val="1"/>
      <w:numFmt w:val="bullet"/>
      <w:lvlText w:val="o"/>
      <w:lvlJc w:val="left"/>
      <w:pPr>
        <w:ind w:left="2339" w:firstLine="2340"/>
      </w:pPr>
      <w:rPr>
        <w:rFonts w:ascii="Arial" w:eastAsia="Arial" w:hAnsi="Arial" w:cs="Arial"/>
        <w:vertAlign w:val="baseline"/>
      </w:rPr>
    </w:lvl>
    <w:lvl w:ilvl="8">
      <w:start w:val="1"/>
      <w:numFmt w:val="bullet"/>
      <w:lvlText w:val="▪"/>
      <w:lvlJc w:val="left"/>
      <w:pPr>
        <w:ind w:left="3059" w:firstLine="3060"/>
      </w:pPr>
      <w:rPr>
        <w:rFonts w:ascii="Arial" w:eastAsia="Arial" w:hAnsi="Arial" w:cs="Arial"/>
        <w:vertAlign w:val="baseline"/>
      </w:rPr>
    </w:lvl>
  </w:abstractNum>
  <w:abstractNum w:abstractNumId="2">
    <w:nsid w:val="230935E5"/>
    <w:multiLevelType w:val="multilevel"/>
    <w:tmpl w:val="8A3C8754"/>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1980" w:hanging="1979"/>
      </w:pPr>
      <w:rPr>
        <w:rFonts w:ascii="Arial" w:eastAsia="Arial" w:hAnsi="Arial" w:cs="Arial"/>
        <w:vertAlign w:val="baseline"/>
      </w:rPr>
    </w:lvl>
    <w:lvl w:ilvl="2">
      <w:start w:val="1"/>
      <w:numFmt w:val="bullet"/>
      <w:lvlText w:val="▪"/>
      <w:lvlJc w:val="left"/>
      <w:pPr>
        <w:ind w:left="-1260" w:hanging="1259"/>
      </w:pPr>
      <w:rPr>
        <w:rFonts w:ascii="Arial" w:eastAsia="Arial" w:hAnsi="Arial" w:cs="Arial"/>
        <w:vertAlign w:val="baseline"/>
      </w:rPr>
    </w:lvl>
    <w:lvl w:ilvl="3">
      <w:start w:val="1"/>
      <w:numFmt w:val="bullet"/>
      <w:lvlText w:val="●"/>
      <w:lvlJc w:val="left"/>
      <w:pPr>
        <w:ind w:left="-540" w:hanging="539"/>
      </w:pPr>
      <w:rPr>
        <w:rFonts w:ascii="Arial" w:eastAsia="Arial" w:hAnsi="Arial" w:cs="Arial"/>
        <w:vertAlign w:val="baseline"/>
      </w:rPr>
    </w:lvl>
    <w:lvl w:ilvl="4">
      <w:start w:val="1"/>
      <w:numFmt w:val="bullet"/>
      <w:lvlText w:val="o"/>
      <w:lvlJc w:val="left"/>
      <w:pPr>
        <w:ind w:left="179" w:firstLine="180"/>
      </w:pPr>
      <w:rPr>
        <w:rFonts w:ascii="Arial" w:eastAsia="Arial" w:hAnsi="Arial" w:cs="Arial"/>
        <w:vertAlign w:val="baseline"/>
      </w:rPr>
    </w:lvl>
    <w:lvl w:ilvl="5">
      <w:start w:val="1"/>
      <w:numFmt w:val="bullet"/>
      <w:lvlText w:val="▪"/>
      <w:lvlJc w:val="left"/>
      <w:pPr>
        <w:ind w:left="899" w:firstLine="900"/>
      </w:pPr>
      <w:rPr>
        <w:rFonts w:ascii="Arial" w:eastAsia="Arial" w:hAnsi="Arial" w:cs="Arial"/>
        <w:vertAlign w:val="baseline"/>
      </w:rPr>
    </w:lvl>
    <w:lvl w:ilvl="6">
      <w:start w:val="1"/>
      <w:numFmt w:val="bullet"/>
      <w:lvlText w:val="●"/>
      <w:lvlJc w:val="left"/>
      <w:pPr>
        <w:ind w:left="1619" w:firstLine="1620"/>
      </w:pPr>
      <w:rPr>
        <w:rFonts w:ascii="Arial" w:eastAsia="Arial" w:hAnsi="Arial" w:cs="Arial"/>
        <w:vertAlign w:val="baseline"/>
      </w:rPr>
    </w:lvl>
    <w:lvl w:ilvl="7">
      <w:start w:val="1"/>
      <w:numFmt w:val="bullet"/>
      <w:lvlText w:val="o"/>
      <w:lvlJc w:val="left"/>
      <w:pPr>
        <w:ind w:left="2339" w:firstLine="2340"/>
      </w:pPr>
      <w:rPr>
        <w:rFonts w:ascii="Arial" w:eastAsia="Arial" w:hAnsi="Arial" w:cs="Arial"/>
        <w:vertAlign w:val="baseline"/>
      </w:rPr>
    </w:lvl>
    <w:lvl w:ilvl="8">
      <w:start w:val="1"/>
      <w:numFmt w:val="bullet"/>
      <w:lvlText w:val="▪"/>
      <w:lvlJc w:val="left"/>
      <w:pPr>
        <w:ind w:left="3059" w:firstLine="3060"/>
      </w:pPr>
      <w:rPr>
        <w:rFonts w:ascii="Arial" w:eastAsia="Arial" w:hAnsi="Arial" w:cs="Arial"/>
        <w:vertAlign w:val="baseline"/>
      </w:rPr>
    </w:lvl>
  </w:abstractNum>
  <w:abstractNum w:abstractNumId="3">
    <w:nsid w:val="38E3132B"/>
    <w:multiLevelType w:val="hybridMultilevel"/>
    <w:tmpl w:val="FD9E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297E71"/>
    <w:multiLevelType w:val="hybridMultilevel"/>
    <w:tmpl w:val="08560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600D41"/>
    <w:multiLevelType w:val="multilevel"/>
    <w:tmpl w:val="4BF68F76"/>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1980" w:hanging="1979"/>
      </w:pPr>
      <w:rPr>
        <w:rFonts w:ascii="Arial" w:eastAsia="Arial" w:hAnsi="Arial" w:cs="Arial"/>
        <w:vertAlign w:val="baseline"/>
      </w:rPr>
    </w:lvl>
    <w:lvl w:ilvl="2">
      <w:start w:val="1"/>
      <w:numFmt w:val="bullet"/>
      <w:lvlText w:val="▪"/>
      <w:lvlJc w:val="left"/>
      <w:pPr>
        <w:ind w:left="-1260" w:hanging="1259"/>
      </w:pPr>
      <w:rPr>
        <w:rFonts w:ascii="Arial" w:eastAsia="Arial" w:hAnsi="Arial" w:cs="Arial"/>
        <w:vertAlign w:val="baseline"/>
      </w:rPr>
    </w:lvl>
    <w:lvl w:ilvl="3">
      <w:start w:val="1"/>
      <w:numFmt w:val="bullet"/>
      <w:lvlText w:val="●"/>
      <w:lvlJc w:val="left"/>
      <w:pPr>
        <w:ind w:left="-540" w:hanging="539"/>
      </w:pPr>
      <w:rPr>
        <w:rFonts w:ascii="Arial" w:eastAsia="Arial" w:hAnsi="Arial" w:cs="Arial"/>
        <w:vertAlign w:val="baseline"/>
      </w:rPr>
    </w:lvl>
    <w:lvl w:ilvl="4">
      <w:start w:val="1"/>
      <w:numFmt w:val="bullet"/>
      <w:lvlText w:val="o"/>
      <w:lvlJc w:val="left"/>
      <w:pPr>
        <w:ind w:left="179" w:firstLine="180"/>
      </w:pPr>
      <w:rPr>
        <w:rFonts w:ascii="Arial" w:eastAsia="Arial" w:hAnsi="Arial" w:cs="Arial"/>
        <w:vertAlign w:val="baseline"/>
      </w:rPr>
    </w:lvl>
    <w:lvl w:ilvl="5">
      <w:start w:val="1"/>
      <w:numFmt w:val="bullet"/>
      <w:lvlText w:val="▪"/>
      <w:lvlJc w:val="left"/>
      <w:pPr>
        <w:ind w:left="899" w:firstLine="900"/>
      </w:pPr>
      <w:rPr>
        <w:rFonts w:ascii="Arial" w:eastAsia="Arial" w:hAnsi="Arial" w:cs="Arial"/>
        <w:vertAlign w:val="baseline"/>
      </w:rPr>
    </w:lvl>
    <w:lvl w:ilvl="6">
      <w:start w:val="1"/>
      <w:numFmt w:val="bullet"/>
      <w:lvlText w:val="●"/>
      <w:lvlJc w:val="left"/>
      <w:pPr>
        <w:ind w:left="1619" w:firstLine="1620"/>
      </w:pPr>
      <w:rPr>
        <w:rFonts w:ascii="Arial" w:eastAsia="Arial" w:hAnsi="Arial" w:cs="Arial"/>
        <w:vertAlign w:val="baseline"/>
      </w:rPr>
    </w:lvl>
    <w:lvl w:ilvl="7">
      <w:start w:val="1"/>
      <w:numFmt w:val="bullet"/>
      <w:lvlText w:val="o"/>
      <w:lvlJc w:val="left"/>
      <w:pPr>
        <w:ind w:left="2339" w:firstLine="2340"/>
      </w:pPr>
      <w:rPr>
        <w:rFonts w:ascii="Arial" w:eastAsia="Arial" w:hAnsi="Arial" w:cs="Arial"/>
        <w:vertAlign w:val="baseline"/>
      </w:rPr>
    </w:lvl>
    <w:lvl w:ilvl="8">
      <w:start w:val="1"/>
      <w:numFmt w:val="bullet"/>
      <w:lvlText w:val="▪"/>
      <w:lvlJc w:val="left"/>
      <w:pPr>
        <w:ind w:left="3059" w:firstLine="3060"/>
      </w:pPr>
      <w:rPr>
        <w:rFonts w:ascii="Arial" w:eastAsia="Arial" w:hAnsi="Arial" w:cs="Arial"/>
        <w:vertAlign w:val="baseline"/>
      </w:rPr>
    </w:lvl>
  </w:abstractNum>
  <w:abstractNum w:abstractNumId="6">
    <w:nsid w:val="7D993771"/>
    <w:multiLevelType w:val="hybridMultilevel"/>
    <w:tmpl w:val="9044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evenAndOddHeaders/>
  <w:characterSpacingControl w:val="doNotCompress"/>
  <w:hdrShapeDefaults>
    <o:shapedefaults v:ext="edit" spidmax="2054"/>
    <o:shapelayout v:ext="edit">
      <o:idmap v:ext="edit" data="2"/>
    </o:shapelayout>
  </w:hdrShapeDefaults>
  <w:compat/>
  <w:rsids>
    <w:rsidRoot w:val="00A81897"/>
    <w:rsid w:val="0003708C"/>
    <w:rsid w:val="00057D30"/>
    <w:rsid w:val="000B3872"/>
    <w:rsid w:val="000C5550"/>
    <w:rsid w:val="000C5DE8"/>
    <w:rsid w:val="000C65EA"/>
    <w:rsid w:val="000C6C07"/>
    <w:rsid w:val="000D08DC"/>
    <w:rsid w:val="000F439D"/>
    <w:rsid w:val="00113124"/>
    <w:rsid w:val="00153DEC"/>
    <w:rsid w:val="0019093B"/>
    <w:rsid w:val="00211823"/>
    <w:rsid w:val="00213222"/>
    <w:rsid w:val="002200C6"/>
    <w:rsid w:val="00222D95"/>
    <w:rsid w:val="0029696A"/>
    <w:rsid w:val="002A3931"/>
    <w:rsid w:val="002C728D"/>
    <w:rsid w:val="002D7E27"/>
    <w:rsid w:val="00305264"/>
    <w:rsid w:val="003148E0"/>
    <w:rsid w:val="00333CB5"/>
    <w:rsid w:val="00373E2F"/>
    <w:rsid w:val="00391FC3"/>
    <w:rsid w:val="003A53C1"/>
    <w:rsid w:val="003E1C0C"/>
    <w:rsid w:val="003F7B53"/>
    <w:rsid w:val="0043371B"/>
    <w:rsid w:val="004B3DED"/>
    <w:rsid w:val="004E5FF5"/>
    <w:rsid w:val="00514B3C"/>
    <w:rsid w:val="00537C6E"/>
    <w:rsid w:val="0054100D"/>
    <w:rsid w:val="00542E4E"/>
    <w:rsid w:val="00591ADE"/>
    <w:rsid w:val="005C45F3"/>
    <w:rsid w:val="00636518"/>
    <w:rsid w:val="006B280F"/>
    <w:rsid w:val="006B5CE0"/>
    <w:rsid w:val="006E204D"/>
    <w:rsid w:val="00793E57"/>
    <w:rsid w:val="007B6D0A"/>
    <w:rsid w:val="007C1D8B"/>
    <w:rsid w:val="007C39D9"/>
    <w:rsid w:val="007C3F50"/>
    <w:rsid w:val="007E3365"/>
    <w:rsid w:val="00820C08"/>
    <w:rsid w:val="00840656"/>
    <w:rsid w:val="0084560F"/>
    <w:rsid w:val="008513A0"/>
    <w:rsid w:val="00874D97"/>
    <w:rsid w:val="008A285A"/>
    <w:rsid w:val="008B0102"/>
    <w:rsid w:val="008D4C4A"/>
    <w:rsid w:val="008F1E1D"/>
    <w:rsid w:val="00977393"/>
    <w:rsid w:val="00986C04"/>
    <w:rsid w:val="009D4130"/>
    <w:rsid w:val="009D41EC"/>
    <w:rsid w:val="009D5D57"/>
    <w:rsid w:val="00A0380F"/>
    <w:rsid w:val="00A20E6D"/>
    <w:rsid w:val="00A26E2A"/>
    <w:rsid w:val="00A33914"/>
    <w:rsid w:val="00A3499D"/>
    <w:rsid w:val="00A43E98"/>
    <w:rsid w:val="00A46992"/>
    <w:rsid w:val="00A81897"/>
    <w:rsid w:val="00AB02B1"/>
    <w:rsid w:val="00AB4D14"/>
    <w:rsid w:val="00B05A60"/>
    <w:rsid w:val="00B653E6"/>
    <w:rsid w:val="00BD77C7"/>
    <w:rsid w:val="00C039DC"/>
    <w:rsid w:val="00C9616D"/>
    <w:rsid w:val="00CB6B26"/>
    <w:rsid w:val="00CB7B2F"/>
    <w:rsid w:val="00D34743"/>
    <w:rsid w:val="00D9378B"/>
    <w:rsid w:val="00DF7811"/>
    <w:rsid w:val="00E12B17"/>
    <w:rsid w:val="00E35F04"/>
    <w:rsid w:val="00E376AC"/>
    <w:rsid w:val="00E431FD"/>
    <w:rsid w:val="00E83661"/>
    <w:rsid w:val="00EA7B12"/>
    <w:rsid w:val="00EC2A7A"/>
    <w:rsid w:val="00F04A6D"/>
    <w:rsid w:val="00F06EB5"/>
    <w:rsid w:val="00F143B9"/>
    <w:rsid w:val="00F65D46"/>
    <w:rsid w:val="00F81085"/>
    <w:rsid w:val="00F91223"/>
    <w:rsid w:val="00F97A9E"/>
    <w:rsid w:val="00FA73C2"/>
    <w:rsid w:val="00FE2DE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3C"/>
  </w:style>
  <w:style w:type="paragraph" w:styleId="Heading1">
    <w:name w:val="heading 1"/>
    <w:basedOn w:val="normal0"/>
    <w:next w:val="normal0"/>
    <w:rsid w:val="00A81897"/>
    <w:pPr>
      <w:keepNext/>
      <w:keepLines/>
      <w:spacing w:before="480" w:after="0"/>
      <w:outlineLvl w:val="0"/>
    </w:pPr>
    <w:rPr>
      <w:rFonts w:ascii="Cambria" w:eastAsia="Cambria" w:hAnsi="Cambria" w:cs="Cambria"/>
      <w:b/>
      <w:color w:val="345A8A"/>
      <w:sz w:val="32"/>
    </w:rPr>
  </w:style>
  <w:style w:type="paragraph" w:styleId="Heading2">
    <w:name w:val="heading 2"/>
    <w:basedOn w:val="normal0"/>
    <w:next w:val="normal0"/>
    <w:rsid w:val="00A81897"/>
    <w:pPr>
      <w:keepNext/>
      <w:keepLines/>
      <w:spacing w:before="360" w:after="80"/>
      <w:contextualSpacing/>
      <w:outlineLvl w:val="1"/>
    </w:pPr>
    <w:rPr>
      <w:b/>
      <w:sz w:val="36"/>
    </w:rPr>
  </w:style>
  <w:style w:type="paragraph" w:styleId="Heading3">
    <w:name w:val="heading 3"/>
    <w:basedOn w:val="normal0"/>
    <w:next w:val="normal0"/>
    <w:rsid w:val="00A81897"/>
    <w:pPr>
      <w:keepNext/>
      <w:keepLines/>
      <w:spacing w:before="280" w:after="80"/>
      <w:contextualSpacing/>
      <w:outlineLvl w:val="2"/>
    </w:pPr>
    <w:rPr>
      <w:b/>
      <w:sz w:val="28"/>
    </w:rPr>
  </w:style>
  <w:style w:type="paragraph" w:styleId="Heading4">
    <w:name w:val="heading 4"/>
    <w:basedOn w:val="normal0"/>
    <w:next w:val="normal0"/>
    <w:rsid w:val="00A81897"/>
    <w:pPr>
      <w:keepNext/>
      <w:keepLines/>
      <w:spacing w:before="240" w:after="40"/>
      <w:contextualSpacing/>
      <w:outlineLvl w:val="3"/>
    </w:pPr>
    <w:rPr>
      <w:b/>
      <w:sz w:val="24"/>
    </w:rPr>
  </w:style>
  <w:style w:type="paragraph" w:styleId="Heading5">
    <w:name w:val="heading 5"/>
    <w:basedOn w:val="normal0"/>
    <w:next w:val="normal0"/>
    <w:rsid w:val="00A81897"/>
    <w:pPr>
      <w:keepNext/>
      <w:keepLines/>
      <w:spacing w:before="220" w:after="40"/>
      <w:contextualSpacing/>
      <w:outlineLvl w:val="4"/>
    </w:pPr>
    <w:rPr>
      <w:b/>
    </w:rPr>
  </w:style>
  <w:style w:type="paragraph" w:styleId="Heading6">
    <w:name w:val="heading 6"/>
    <w:basedOn w:val="normal0"/>
    <w:next w:val="normal0"/>
    <w:rsid w:val="00A81897"/>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E7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9E4"/>
    <w:rPr>
      <w:rFonts w:ascii="Lucida Grande" w:hAnsi="Lucida Grande"/>
      <w:sz w:val="18"/>
      <w:szCs w:val="18"/>
    </w:rPr>
  </w:style>
  <w:style w:type="paragraph" w:customStyle="1" w:styleId="normal0">
    <w:name w:val="normal"/>
    <w:rsid w:val="00A81897"/>
  </w:style>
  <w:style w:type="paragraph" w:styleId="Title">
    <w:name w:val="Title"/>
    <w:basedOn w:val="normal0"/>
    <w:next w:val="normal0"/>
    <w:rsid w:val="00A81897"/>
    <w:pPr>
      <w:keepNext/>
      <w:keepLines/>
      <w:spacing w:before="480" w:after="120"/>
      <w:contextualSpacing/>
    </w:pPr>
    <w:rPr>
      <w:b/>
      <w:sz w:val="72"/>
    </w:rPr>
  </w:style>
  <w:style w:type="paragraph" w:styleId="Subtitle">
    <w:name w:val="Subtitle"/>
    <w:basedOn w:val="normal0"/>
    <w:next w:val="normal0"/>
    <w:rsid w:val="00A81897"/>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E12B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12B17"/>
  </w:style>
  <w:style w:type="paragraph" w:styleId="Footer">
    <w:name w:val="footer"/>
    <w:basedOn w:val="Normal"/>
    <w:link w:val="FooterChar"/>
    <w:uiPriority w:val="99"/>
    <w:unhideWhenUsed/>
    <w:rsid w:val="00E12B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2B17"/>
  </w:style>
  <w:style w:type="paragraph" w:styleId="NormalWeb">
    <w:name w:val="Normal (Web)"/>
    <w:basedOn w:val="Normal"/>
    <w:uiPriority w:val="99"/>
    <w:rsid w:val="00591ADE"/>
    <w:pPr>
      <w:spacing w:beforeLines="1" w:afterLines="1" w:line="240" w:lineRule="auto"/>
    </w:pPr>
    <w:rPr>
      <w:rFonts w:ascii="Times" w:hAnsi="Times" w:cs="Times New Roman"/>
      <w:color w:val="auto"/>
      <w:sz w:val="20"/>
    </w:rPr>
  </w:style>
  <w:style w:type="paragraph" w:styleId="ListParagraph">
    <w:name w:val="List Paragraph"/>
    <w:basedOn w:val="Normal"/>
    <w:uiPriority w:val="34"/>
    <w:qFormat/>
    <w:rsid w:val="0084560F"/>
    <w:pPr>
      <w:ind w:left="720"/>
      <w:contextualSpacing/>
    </w:pPr>
    <w:rPr>
      <w:szCs w:val="24"/>
    </w:rPr>
  </w:style>
  <w:style w:type="character" w:styleId="Hyperlink">
    <w:name w:val="Hyperlink"/>
    <w:basedOn w:val="DefaultParagraphFont"/>
    <w:uiPriority w:val="99"/>
    <w:semiHidden/>
    <w:unhideWhenUsed/>
    <w:rsid w:val="000C6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611487">
      <w:bodyDiv w:val="1"/>
      <w:marLeft w:val="0"/>
      <w:marRight w:val="0"/>
      <w:marTop w:val="0"/>
      <w:marBottom w:val="0"/>
      <w:divBdr>
        <w:top w:val="none" w:sz="0" w:space="0" w:color="auto"/>
        <w:left w:val="none" w:sz="0" w:space="0" w:color="auto"/>
        <w:bottom w:val="none" w:sz="0" w:space="0" w:color="auto"/>
        <w:right w:val="none" w:sz="0" w:space="0" w:color="auto"/>
      </w:divBdr>
      <w:divsChild>
        <w:div w:id="869563331">
          <w:marLeft w:val="0"/>
          <w:marRight w:val="0"/>
          <w:marTop w:val="0"/>
          <w:marBottom w:val="0"/>
          <w:divBdr>
            <w:top w:val="none" w:sz="0" w:space="0" w:color="auto"/>
            <w:left w:val="none" w:sz="0" w:space="0" w:color="auto"/>
            <w:bottom w:val="none" w:sz="0" w:space="0" w:color="auto"/>
            <w:right w:val="none" w:sz="0" w:space="0" w:color="auto"/>
          </w:divBdr>
          <w:divsChild>
            <w:div w:id="252974917">
              <w:marLeft w:val="0"/>
              <w:marRight w:val="0"/>
              <w:marTop w:val="0"/>
              <w:marBottom w:val="0"/>
              <w:divBdr>
                <w:top w:val="none" w:sz="0" w:space="0" w:color="auto"/>
                <w:left w:val="none" w:sz="0" w:space="0" w:color="auto"/>
                <w:bottom w:val="none" w:sz="0" w:space="0" w:color="auto"/>
                <w:right w:val="none" w:sz="0" w:space="0" w:color="auto"/>
              </w:divBdr>
              <w:divsChild>
                <w:div w:id="1598368901">
                  <w:marLeft w:val="0"/>
                  <w:marRight w:val="0"/>
                  <w:marTop w:val="0"/>
                  <w:marBottom w:val="0"/>
                  <w:divBdr>
                    <w:top w:val="none" w:sz="0" w:space="0" w:color="auto"/>
                    <w:left w:val="none" w:sz="0" w:space="0" w:color="auto"/>
                    <w:bottom w:val="none" w:sz="0" w:space="0" w:color="auto"/>
                    <w:right w:val="none" w:sz="0" w:space="0" w:color="auto"/>
                  </w:divBdr>
                  <w:divsChild>
                    <w:div w:id="18401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2826">
      <w:bodyDiv w:val="1"/>
      <w:marLeft w:val="0"/>
      <w:marRight w:val="0"/>
      <w:marTop w:val="0"/>
      <w:marBottom w:val="0"/>
      <w:divBdr>
        <w:top w:val="none" w:sz="0" w:space="0" w:color="auto"/>
        <w:left w:val="none" w:sz="0" w:space="0" w:color="auto"/>
        <w:bottom w:val="none" w:sz="0" w:space="0" w:color="auto"/>
        <w:right w:val="none" w:sz="0" w:space="0" w:color="auto"/>
      </w:divBdr>
      <w:divsChild>
        <w:div w:id="143201389">
          <w:marLeft w:val="0"/>
          <w:marRight w:val="0"/>
          <w:marTop w:val="0"/>
          <w:marBottom w:val="0"/>
          <w:divBdr>
            <w:top w:val="none" w:sz="0" w:space="0" w:color="auto"/>
            <w:left w:val="none" w:sz="0" w:space="0" w:color="auto"/>
            <w:bottom w:val="none" w:sz="0" w:space="0" w:color="auto"/>
            <w:right w:val="none" w:sz="0" w:space="0" w:color="auto"/>
          </w:divBdr>
          <w:divsChild>
            <w:div w:id="1307471386">
              <w:marLeft w:val="0"/>
              <w:marRight w:val="0"/>
              <w:marTop w:val="0"/>
              <w:marBottom w:val="0"/>
              <w:divBdr>
                <w:top w:val="none" w:sz="0" w:space="0" w:color="auto"/>
                <w:left w:val="none" w:sz="0" w:space="0" w:color="auto"/>
                <w:bottom w:val="none" w:sz="0" w:space="0" w:color="auto"/>
                <w:right w:val="none" w:sz="0" w:space="0" w:color="auto"/>
              </w:divBdr>
              <w:divsChild>
                <w:div w:id="11846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4945">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
          <w:marLeft w:val="0"/>
          <w:marRight w:val="0"/>
          <w:marTop w:val="0"/>
          <w:marBottom w:val="0"/>
          <w:divBdr>
            <w:top w:val="none" w:sz="0" w:space="0" w:color="auto"/>
            <w:left w:val="none" w:sz="0" w:space="0" w:color="auto"/>
            <w:bottom w:val="none" w:sz="0" w:space="0" w:color="auto"/>
            <w:right w:val="none" w:sz="0" w:space="0" w:color="auto"/>
          </w:divBdr>
          <w:divsChild>
            <w:div w:id="1214539977">
              <w:marLeft w:val="0"/>
              <w:marRight w:val="0"/>
              <w:marTop w:val="0"/>
              <w:marBottom w:val="0"/>
              <w:divBdr>
                <w:top w:val="none" w:sz="0" w:space="0" w:color="auto"/>
                <w:left w:val="none" w:sz="0" w:space="0" w:color="auto"/>
                <w:bottom w:val="none" w:sz="0" w:space="0" w:color="auto"/>
                <w:right w:val="none" w:sz="0" w:space="0" w:color="auto"/>
              </w:divBdr>
              <w:divsChild>
                <w:div w:id="882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onicle.com/blogs/ticker/files/2015/10/Suspension-Letter-to-University-of-Phoenix_7Oct20151.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help.senate.gov/imo/media/for_profit_report/PartII/Apol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1096</Words>
  <Characters>6143</Characters>
  <Application>Microsoft Macintosh Word</Application>
  <DocSecurity>0</DocSecurity>
  <Lines>113</Lines>
  <Paragraphs>13</Paragraphs>
  <ScaleCrop>false</ScaleCrop>
  <Company>U.S. Government Accountability Offce</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 SD Edits 3-26.doc.docx</dc:title>
  <cp:lastModifiedBy>Walter Ochinko</cp:lastModifiedBy>
  <cp:revision>83</cp:revision>
  <dcterms:created xsi:type="dcterms:W3CDTF">2015-01-06T15:14:00Z</dcterms:created>
  <dcterms:modified xsi:type="dcterms:W3CDTF">2016-01-20T19:37:00Z</dcterms:modified>
</cp:coreProperties>
</file>